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48.png" ContentType="image/png"/>
  <Override PartName="/word/media/rId60.png" ContentType="image/png"/>
  <Override PartName="/word/media/rId79.png" ContentType="image/png"/>
  <Override PartName="/word/media/rId56.png" ContentType="image/png"/>
  <Override PartName="/word/media/rId52.png" ContentType="image/png"/>
  <Override PartName="/word/media/rId40.png" ContentType="image/png"/>
  <Override PartName="/word/media/rId33.png" ContentType="image/png"/>
  <Override PartName="/word/media/rId65.png" ContentType="image/png"/>
  <Override PartName="/word/media/rId70.png" ContentType="image/png"/>
  <Override PartName="/word/media/rId7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Long,</w:t>
      </w:r>
      <w:r>
        <w:t xml:space="preserve"> </w:t>
      </w:r>
      <w:r>
        <w:t xml:space="preserve">low</w:t>
      </w:r>
      <w:r>
        <w:t xml:space="preserve"> </w:t>
      </w:r>
      <w:r>
        <w:t xml:space="preserve">&amp;</w:t>
      </w:r>
      <w:r>
        <w:t xml:space="preserve"> </w:t>
      </w:r>
      <w:r>
        <w:t xml:space="preserve">slow;</w:t>
      </w:r>
      <w:r>
        <w:t xml:space="preserve"> </w:t>
      </w:r>
      <w:r>
        <w:t xml:space="preserve">or</w:t>
      </w:r>
      <w:r>
        <w:t xml:space="preserve"> </w:t>
      </w:r>
      <w:r>
        <w:t xml:space="preserve">high,</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of</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Sweden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in tropical, subtropical, temperate and arctic zones, with long-term scenarios forecasting range expansions of this picocyanobacteria into new photic regimes. We found that</w:t>
      </w:r>
      <w:r>
        <w:t xml:space="preserve"> </w:t>
      </w:r>
      <w:r>
        <w:rPr>
          <w:iCs/>
          <w:i/>
        </w:rPr>
        <w:t xml:space="preserve">Synechococcus</w:t>
      </w:r>
      <w:r>
        <w:t xml:space="preserve"> </w:t>
      </w:r>
      <w:r>
        <w:t xml:space="preserve">sp. showed photoperiod and light level-specific response, even if the cumulative diel photon dose (µmol photons m</w:t>
      </w:r>
      <w:r>
        <w:rPr>
          <w:vertAlign w:val="superscript"/>
        </w:rPr>
        <w:t xml:space="preserve">−2</w:t>
      </w:r>
      <w:r>
        <w:t xml:space="preserve">d</w:t>
      </w:r>
      <w:r>
        <w:rPr>
          <w:vertAlign w:val="superscript"/>
        </w:rPr>
        <w:t xml:space="preserve">−1</w:t>
      </w:r>
      <w:r>
        <w:t xml:space="preserve">) remains the same or similar. The most favorable growth conditions for both PC-rich and PE-rich strains were under low light (&lt; 300 µmol photons m</w:t>
      </w:r>
      <w:r>
        <w:rPr>
          <w:vertAlign w:val="superscript"/>
        </w:rPr>
        <w:t xml:space="preserve">−2</w:t>
      </w:r>
      <w:r>
        <w:t xml:space="preserve">s</w:t>
      </w:r>
      <w:r>
        <w:rPr>
          <w:vertAlign w:val="superscript"/>
        </w:rPr>
        <w:t xml:space="preserve">−1</w:t>
      </w:r>
      <w:r>
        <w:t xml:space="preserve">) and the longest photoperiod (24 h), even though the cumulative diel PUR dose was equivalent to conditions where the light intensity was higher and the photoperiod was shorter. Under optimal conditions, PE-rich</w:t>
      </w:r>
      <w:r>
        <w:t xml:space="preserve"> </w:t>
      </w:r>
      <w:r>
        <w:rPr>
          <w:iCs/>
          <w:i/>
        </w:rPr>
        <w:t xml:space="preserve">Synechococcus</w:t>
      </w:r>
      <w:r>
        <w:t xml:space="preserve"> </w:t>
      </w:r>
      <w:r>
        <w:t xml:space="preserve">sp. achieved a chlorophyll specific exponential growth rate (µ) of 4.5 d</w:t>
      </w:r>
      <w:r>
        <w:rPr>
          <w:vertAlign w:val="superscript"/>
        </w:rPr>
        <w:t xml:space="preserve">−1</w:t>
      </w:r>
      <w:r>
        <w:t xml:space="preserve"> </w:t>
      </w:r>
      <w:r>
        <w:t xml:space="preserve">(3.7 h doubling time), which is the highest value recorded for cyanobacteria. Light capture efficacy to cumulative diel PAR, depending upon photoperiod and peak PAR, varied across the strains and phase of growth. PE-rich strains in the exponential phase of growth demonstrated high ability to modulate light capacity whereas PC-rich strains almost fixed PUR/PAR ratio. We find, for the first time, that PC-rich and PE-rich picocyanobacteria show consistent patterns of effective absorption cross section for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PE-rich strains remained at the higher</w:t>
      </w:r>
      <w:r>
        <w:t xml:space="preserve"> </w:t>
      </w:r>
      <m:oMath>
        <m:r>
          <m:t>σ</m:t>
        </m:r>
      </m:oMath>
      <w:r>
        <w:rPr>
          <w:vertAlign w:val="subscript"/>
        </w:rPr>
        <w:t xml:space="preserve">PSII</w:t>
      </w:r>
      <w:r>
        <w:t xml:space="preserve">′ level than the PC-rich strains even as cumulative diel PAR increased.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Based on these calculations, we found that µ,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This work helps explain the differential seasonal prevalence of PC-rich and PE-rich</w:t>
      </w:r>
      <w:r>
        <w:t xml:space="preserve"> </w:t>
      </w:r>
      <w:r>
        <w:rPr>
          <w:iCs/>
          <w:i/>
        </w:rPr>
        <w:t xml:space="preserve">Synechococcus</w:t>
      </w:r>
      <w:r>
        <w:t xml:space="preserve"> </w:t>
      </w:r>
      <w:r>
        <w:t xml:space="preserve">sp., in terms of the growth yields and light-capture in different photic regimes.</w:t>
      </w:r>
    </w:p>
    <w:p>
      <w:pPr>
        <w:pStyle w:val="BodyText"/>
      </w:pPr>
      <w:r>
        <w:rPr>
          <w:iCs/>
          <w:i/>
        </w:rPr>
        <w:t xml:space="preserve">Keywords:</w:t>
      </w:r>
      <w:r>
        <w:t xml:space="preserve"> </w:t>
      </w:r>
      <w:r>
        <w:t xml:space="preserve">Cumulative diel photon dose, Light-capture, PAR, Photic regime, Phase of growth, Photoperiod, Picocyanobacteria, PUR</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present in a given cyanobacteria or algae</w:t>
      </w:r>
      <w:r>
        <w:t xml:space="preserve"> </w:t>
      </w:r>
      <w:r>
        <w:t xml:space="preserve">(Morel 1978)</w:t>
      </w:r>
      <w:r>
        <w:t xml:space="preserve">. PUR thus depends upon the interaction of PAR, and the phytoplankter genomic expression of light capture capacity</w:t>
      </w:r>
      <w:r>
        <w:t xml:space="preserve"> </w:t>
      </w:r>
      <w:r>
        <w:t xml:space="preserve">(Moejes et al. 2017; Grébert et al. 2018)</w:t>
      </w:r>
      <w:r>
        <w:t xml:space="preserve">. Cyanobacteria also respond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w:t>
      </w:r>
      <w:r>
        <w:t xml:space="preserve">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which occurs between exponential and stationary phase of picocyanobacteria growth. This growth phase is often omitted in physiological studies. Here, we examined the physiological response of PC-rich and PE-rich</w:t>
      </w:r>
      <w:r>
        <w:t xml:space="preserve"> </w:t>
      </w:r>
      <w:r>
        <w:rPr>
          <w:iCs/>
          <w:i/>
        </w:rPr>
        <w:t xml:space="preserve">Synechococcus</w:t>
      </w:r>
      <w:r>
        <w:t xml:space="preserve"> </w:t>
      </w:r>
      <w:r>
        <w:t xml:space="preserve">sp. also in this phase, which we called the pre-stationary phase of growth. Since cell death may also release toxins into the environment, understanding the temporal progression of growth phases is thus essential for predicting cyanobacterial activity in a habitat, and their impact on ecosystem dynamics over time.</w:t>
      </w:r>
    </w:p>
    <w:p>
      <w:pPr>
        <w:pStyle w:val="BodyText"/>
      </w:pPr>
      <w:r>
        <w:t xml:space="preserve">Picocyanobacteria are the most abundant phytoplankters in aquatic ecosystems and are crucial to the optical properties of ocean water, influencing its colour and transparency. Photic regimes and growth phases of PC-rich and PE-rich</w:t>
      </w:r>
      <w:r>
        <w:t xml:space="preserve"> </w:t>
      </w:r>
      <w:r>
        <w:rPr>
          <w:iCs/>
          <w:i/>
        </w:rPr>
        <w:t xml:space="preserve">Synechococcus</w:t>
      </w:r>
      <w:r>
        <w:t xml:space="preserve"> </w:t>
      </w:r>
      <w:r>
        <w:t xml:space="preserve">sp. may drive spatial and temporal variability of picocyanobacteria biomass and community lineage composition within current and potential future aquatic habitats, relating to varying metabolic costs between different physiological strategies for growth.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2"/>
    <w:bookmarkStart w:id="47"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strains and two PhycoErythrin(PE)-rich (CCBA_048 or CCBA_127) strains of</w:t>
      </w:r>
      <w:r>
        <w:t xml:space="preserve"> </w:t>
      </w:r>
      <w:r>
        <w:rPr>
          <w:iCs/>
          <w:i/>
        </w:rPr>
        <w:t xml:space="preserve">Synechococcus</w:t>
      </w:r>
      <w:r>
        <w:t xml:space="preserve"> </w:t>
      </w:r>
      <w:r>
        <w:t xml:space="preserve">belonging to different clades 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bookmarkEnd w:id="24"/>
    <w:bookmarkStart w:id="25" w:name="genomic-analyses"/>
    <w:p>
      <w:pPr>
        <w:pStyle w:val="Heading2"/>
      </w:pPr>
      <w:r>
        <w:t xml:space="preserve">Genomic analyses</w:t>
      </w:r>
    </w:p>
    <w:p>
      <w:pPr>
        <w:pStyle w:val="FirstParagraph"/>
      </w:pPr>
      <w:r>
        <w:t xml:space="preserve">Phylogenetic tree of tested PC-rich and PE-rich strains is presented in Fig. 1S (Supplementary materials).</w:t>
      </w:r>
    </w:p>
    <w:bookmarkEnd w:id="25"/>
    <w:bookmarkStart w:id="30" w:name="Xa7c4f77afc97420905ec2223a8335255582d9ba"/>
    <w:p>
      <w:pPr>
        <w:pStyle w:val="Heading2"/>
      </w:pPr>
      <w:r>
        <w:t xml:space="preserve">Growth curves and chlorophyll 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S2-S4 in Supplementary materials). The chlorophyll 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S5 in Supplementary materials).</w:t>
      </w:r>
    </w:p>
    <w:p>
      <w:pPr>
        <w:pStyle w:val="BodyText"/>
      </w:pPr>
      <w:r>
        <w:t xml:space="preserve">A Generalized Additive Model (GAM)</w:t>
      </w:r>
      <w:r>
        <w:t xml:space="preserve"> </w:t>
      </w:r>
      <w:r>
        <w:t xml:space="preserve">(Wood 2017)</w:t>
      </w:r>
      <w:r>
        <w:t xml:space="preserve"> </w:t>
      </w:r>
      <w:r>
        <w:t xml:space="preserve">was applied to the relation of chlorophyll specific growth rate (µ; d</w:t>
      </w:r>
      <w:r>
        <w:rPr>
          <w:vertAlign w:val="superscript"/>
        </w:rPr>
        <w:t xml:space="preserve">−1</w:t>
      </w:r>
      <w:r>
        <w:t xml:space="preserve">) to 4 photoperiods (8 – 24 h) and 6 peak PAR (30 – 900 µmol photons m</w:t>
      </w:r>
      <w:r>
        <w:rPr>
          <w:vertAlign w:val="superscript"/>
        </w:rPr>
        <w:t xml:space="preserve">−2</w:t>
      </w:r>
      <w:r>
        <w:t xml:space="preserve">s</w:t>
      </w:r>
      <w:r>
        <w:rPr>
          <w:vertAlign w:val="superscript"/>
        </w:rPr>
        <w:t xml:space="preserve">−1</w:t>
      </w:r>
      <w:r>
        <w:t xml:space="preserve">) levels, for two PC-rich cultures (056, 077) and two PE-rich cultures (048, 127) of</w:t>
      </w:r>
      <w:r>
        <w:t xml:space="preserve"> </w:t>
      </w:r>
      <w:r>
        <w:rPr>
          <w:iCs/>
          <w:i/>
        </w:rPr>
        <w:t xml:space="preserve">Synechococcus</w:t>
      </w:r>
      <w:r>
        <w:t xml:space="preserve"> </w:t>
      </w:r>
      <w:r>
        <w:t xml:space="preserve">sp. originating from the Baltic Sea. The R package</w:t>
      </w:r>
      <w:r>
        <w:t xml:space="preserve"> </w:t>
      </w:r>
      <w:r>
        <w:rPr>
          <w:iCs/>
          <w:i/>
        </w:rPr>
        <w:t xml:space="preserve">mgcv</w:t>
      </w:r>
      <w:r>
        <w:t xml:space="preserve"> </w:t>
      </w:r>
      <w:r>
        <w:t xml:space="preserve">(Wood 2023)</w:t>
      </w:r>
      <w:r>
        <w:t xml:space="preserve"> </w:t>
      </w:r>
      <w:r>
        <w:t xml:space="preserve">was used to model the growth rate with smoothing terms and indicate the 10%, 50%, and 90% quantiles for growth rate across the levels of photoperiod and peak PAR.</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 xts: eXtensible Time Series</w:t>
      </w:r>
      <w:r>
        <w:t xml:space="preserve"> </w:t>
      </w:r>
      <w:r>
        <w:t xml:space="preserve">(Ryan et al. 2024)</w:t>
      </w:r>
      <w:r>
        <w:t xml:space="preserve"> </w:t>
      </w:r>
      <w:r>
        <w:t xml:space="preserve">and signal: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7" name="Picture"/>
            <a:graphic>
              <a:graphicData uri="http://schemas.openxmlformats.org/drawingml/2006/picture">
                <pic:pic>
                  <pic:nvPicPr>
                    <pic:cNvPr descr="../Output/Figures/Fig_FirstDerivative.png" id="28" name="Picture"/>
                    <pic:cNvPicPr>
                      <a:picLocks noChangeArrowheads="1" noChangeAspect="1"/>
                    </pic:cNvPicPr>
                  </pic:nvPicPr>
                  <pic:blipFill>
                    <a:blip r:embed="rId26"/>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9" w:name="fig:FirstDerivative"/>
      <w:bookmarkEnd w:id="29"/>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(d,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30"/>
    <w:bookmarkStart w:id="31" w:name="determining-the-number-of-cells"/>
    <w:p>
      <w:pPr>
        <w:pStyle w:val="Heading2"/>
      </w:pPr>
      <w:r>
        <w:t xml:space="preserve">Determining the number of cells</w:t>
      </w:r>
    </w:p>
    <w:p>
      <w:pPr>
        <w:pStyle w:val="FirstParagraph"/>
      </w:pPr>
      <w:r>
        <w:t xml:space="preserve">The number of picocyanobacterial cells (cell mL</w:t>
      </w:r>
      <w:r>
        <w:rPr>
          <w:vertAlign w:val="superscript"/>
        </w:rPr>
        <w:t xml:space="preserve">−1</w:t>
      </w:r>
      <w:r>
        <w:t xml:space="preserve">) was measured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1"/>
    <w:bookmarkStart w:id="32"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bookmarkEnd w:id="32"/>
    <w:bookmarkStart w:id="37"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4" name="Picture"/>
            <a:graphic>
              <a:graphicData uri="http://schemas.openxmlformats.org/drawingml/2006/picture">
                <pic:pic>
                  <pic:nvPicPr>
                    <pic:cNvPr descr="../Output/Figures/Fig_OlisSpectra.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OlisSpectra"/>
      <w:bookmarkEnd w:id="36"/>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7"/>
    <w:bookmarkStart w:id="38" w:name="estimating-cumulative-diel-par-and-pur"/>
    <w:p>
      <w:pPr>
        <w:pStyle w:val="Heading2"/>
      </w:pPr>
      <w:r>
        <w:t xml:space="preserve">Estimating 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r>
        <w:t xml:space="preserve">Cumulative diel PUR was estimated similarly after estimation of peak PUR from peak PAR.</w:t>
      </w:r>
    </w:p>
    <w:bookmarkEnd w:id="38"/>
    <w:bookmarkStart w:id="39" w:name="pigment-content-analysis"/>
    <w:p>
      <w:pPr>
        <w:pStyle w:val="Heading2"/>
      </w:pPr>
      <w:r>
        <w:t xml:space="preserve">Pigment content analysis</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bookmarkEnd w:id="39"/>
    <w:bookmarkStart w:id="44" w:name="X66ae0501df054eaf9b54d08ac643e0818599ead"/>
    <w:p>
      <w:pPr>
        <w:pStyle w:val="Heading2"/>
      </w:pPr>
      <w:r>
        <w:t xml:space="preserve">Estimating 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(4))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FRRf measures, below light saturation, using a FireSting robust oxygen probe (PyroScience, Germany) inserted in the cuvette for select RLC runs (Fig.</w:t>
      </w:r>
      <w:r>
        <w:t xml:space="preserve"> </w:t>
      </w:r>
      <w:r>
        <w:t xml:space="preserve">3</w:t>
      </w:r>
      <w:r>
        <w:t xml:space="preserve">). For the blue LED (Ex</w:t>
      </w:r>
      <w:r>
        <w:rPr>
          <w:vertAlign w:val="subscript"/>
        </w:rPr>
        <w:t xml:space="preserve">445nm</w:t>
      </w:r>
      <w:r>
        <w:t xml:space="preserve">) excitation we used a calibration slope of 106941, while for orange LED (Ex</w:t>
      </w:r>
      <w:r>
        <w:rPr>
          <w:vertAlign w:val="subscript"/>
        </w:rPr>
        <w:t xml:space="preserve">590nm</w:t>
      </w:r>
      <w:r>
        <w:t xml:space="preserve">) excitation we used a calibration slope of 251096.</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4</m:t>
              </m:r>
            </m:e>
          </m:d>
        </m:oMath>
      </m:oMathPara>
    </w:p>
    <w:p>
      <w:pPr>
        <w:pStyle w:val="CaptionedFigure"/>
      </w:pPr>
      <w:r>
        <w:drawing>
          <wp:inline>
            <wp:extent cx="5943600" cy="6256421"/>
            <wp:effectExtent b="0" l="0" r="0" t="0"/>
            <wp:docPr descr="Figure 3: Single turnover (ST) fluorescence induction by Fast Repetition Rate fluorometry (FRRf). Top panel (A) shows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Panel B shows linear regressions of uncalibrated PSII electron flux (JVPSII) vs. e− L−1 s−1 derived from simultaneously measured oxygen evolution Light Response Curves (LRC) under blue LED (Ex445nm; open blue circles) or orange (Ex590nm; open orange diamonds) excitation. Panel C shows a Rapid Light Curve (RLC), fit with a three parameter model (Harrison and Platt 1986), for PSII electron flux (JVPSII; µmol e− µmol Chl a−1 s−1) vs. actinic PAR measured under blue LED (Ex445nm; open blue circles) or orange (Ex590nm; open orange diamonds) excitation." title="" id="41" name="Picture"/>
            <a:graphic>
              <a:graphicData uri="http://schemas.openxmlformats.org/drawingml/2006/picture">
                <pic:pic>
                  <pic:nvPicPr>
                    <pic:cNvPr descr="../Output/Figures/Fig_LIFT.png" id="42" name="Picture"/>
                    <pic:cNvPicPr>
                      <a:picLocks noChangeArrowheads="1" noChangeAspect="1"/>
                    </pic:cNvPicPr>
                  </pic:nvPicPr>
                  <pic:blipFill>
                    <a:blip r:embed="rId40"/>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3" w:name="fig:LIFT"/>
      <w:bookmarkEnd w:id="43"/>
      <w:r>
        <w:t xml:space="preserve">Figure 3:</w:t>
      </w:r>
      <w:r>
        <w:t xml:space="preserve"> </w:t>
      </w:r>
      <w:r>
        <w:rPr>
          <w:bCs/>
          <w:b/>
        </w:rPr>
        <w:t xml:space="preserve">Single turnover (ST) fluorescence induction by Fast Repetition Rate fluorometry (FRRf).</w:t>
      </w:r>
      <w:r>
        <w:t xml:space="preserve"> </w:t>
      </w:r>
      <w:r>
        <w:t xml:space="preserve">Top panel (A) shows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Panel B shows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Panel C shows a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4"/>
    <w:bookmarkStart w:id="46"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 was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λ, exponential decay constant)</w:t>
      </w:r>
      <w:r>
        <w:t xml:space="preserve"> </w:t>
      </w:r>
      <w:r>
        <w:t xml:space="preserve">(Serway et al. 2004)</w:t>
      </w:r>
      <w:r>
        <w:t xml:space="preserve">.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 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and fit separately to each different photoperiods (8, 12, 16, or 24); or fit separately to different peak PAR (30, 90, 180, 300, 600 together with 900). These comparisons were run for chlorophyll 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w:t>
      </w:r>
      <m:oMath>
        <m:r>
          <m:t>σ</m:t>
        </m:r>
      </m:oMath>
      <w:r>
        <w:rPr>
          <w:vertAlign w:val="subscript"/>
        </w:rPr>
        <w:t xml:space="preserve">PSII</w:t>
      </w:r>
      <w:r>
        <w:t xml:space="preserve">′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w:t>
      </w:r>
      <w:r>
        <w:t xml:space="preserve"> </w:t>
      </w:r>
      <m:oMath>
        <m:r>
          <m:t>α</m:t>
        </m:r>
      </m:oMath>
      <w:r>
        <w:t xml:space="preserve"> </w:t>
      </w:r>
      <w:r>
        <w:t xml:space="preserve">=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For reproducibility all code, data and metadata is available at GitHub repository (</w:t>
      </w:r>
      <w:hyperlink r:id="rId45">
        <w:r>
          <w:rPr>
            <w:rStyle w:val="Hyperlink"/>
          </w:rPr>
          <w:t xml:space="preserve">https://github.com/FundyPhytoPhys/BalticPhotoperiod</w:t>
        </w:r>
      </w:hyperlink>
      <w:r>
        <w:t xml:space="preserve">).</w:t>
      </w:r>
    </w:p>
    <w:bookmarkEnd w:id="46"/>
    <w:bookmarkEnd w:id="47"/>
    <w:bookmarkStart w:id="84" w:name="results"/>
    <w:p>
      <w:pPr>
        <w:pStyle w:val="Heading1"/>
      </w:pPr>
      <w:r>
        <w:t xml:space="preserve">Results</w:t>
      </w:r>
    </w:p>
    <w:bookmarkStart w:id="64" w:name="X3c4de26526443418ca9ef70653fbb6a4bace88d"/>
    <w:p>
      <w:pPr>
        <w:pStyle w:val="Heading2"/>
      </w:pPr>
      <w:r>
        <w:t xml:space="preserve">Changes in chlorophyll-specific exponential growth rate</w:t>
      </w:r>
    </w:p>
    <w:p>
      <w:pPr>
        <w:pStyle w:val="FirstParagraph"/>
      </w:pPr>
      <w:r>
        <w:t xml:space="preserve">The GAM model in Fig.</w:t>
      </w:r>
      <w:r>
        <w:t xml:space="preserve"> </w:t>
      </w:r>
      <w:r>
        <w:t xml:space="preserve">4</w:t>
      </w:r>
      <w:r>
        <w:t xml:space="preserve"> </w:t>
      </w:r>
      <w:r>
        <w:t xml:space="preserve">summarizes growth responses of PC-rich and PE-rich picocyanobacteria to 6 peak PAR and 4 photoperiods. PC-rich_056</w:t>
      </w:r>
      <w:r>
        <w:t xml:space="preserve"> </w:t>
      </w:r>
      <w:r>
        <w:rPr>
          <w:iCs/>
          <w:i/>
        </w:rPr>
        <w:t xml:space="preserve">Synechococcus</w:t>
      </w:r>
      <w:r>
        <w:t xml:space="preserve"> </w:t>
      </w:r>
      <w:r>
        <w:t xml:space="preserve">sp. showed the highest growth rate in photoperiod of 24 h, regardless of the prevailing peak PAR indicated by the contour line labeled 1.45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On the other hand, the other tested PC-rich strain (077) showed the highest growth in the range of photoperiod 16-24 h and peak PAR between 300 – 700 µmol photons m</w:t>
      </w:r>
      <w:r>
        <w:rPr>
          <w:vertAlign w:val="superscript"/>
        </w:rPr>
        <w:t xml:space="preserve">−2</w:t>
      </w:r>
      <w:r>
        <w:t xml:space="preserve">s</w:t>
      </w:r>
      <w:r>
        <w:rPr>
          <w:vertAlign w:val="superscript"/>
        </w:rPr>
        <w:t xml:space="preserve">−1</w:t>
      </w:r>
      <w:r>
        <w:t xml:space="preserve"> </w:t>
      </w:r>
      <w:r>
        <w:t xml:space="preserve">indicated by the 1.81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Also, For both PC-rich strains, growth was the lowest in the 30 µmol photons m</w:t>
      </w:r>
      <w:r>
        <w:rPr>
          <w:vertAlign w:val="superscript"/>
        </w:rPr>
        <w:t xml:space="preserve">−2</w:t>
      </w:r>
      <w:r>
        <w:t xml:space="preserve">s</w:t>
      </w:r>
      <w:r>
        <w:rPr>
          <w:vertAlign w:val="superscript"/>
        </w:rPr>
        <w:t xml:space="preserve">−1</w:t>
      </w:r>
      <w:r>
        <w:t xml:space="preserve"> </w:t>
      </w:r>
      <w:r>
        <w:t xml:space="preserve">and photoperiod of 8 h. Note, the growth rate for PC-rich and PE-rich</w:t>
      </w:r>
      <w:r>
        <w:t xml:space="preserve"> </w:t>
      </w:r>
      <w:r>
        <w:rPr>
          <w:iCs/>
          <w:i/>
        </w:rPr>
        <w:t xml:space="preserve">Synechococcus</w:t>
      </w:r>
      <w:r>
        <w:t xml:space="preserve"> </w:t>
      </w:r>
      <w:r>
        <w:t xml:space="preserve">sp. was not consistent with the cumulative diel photon dose (µmol photons m</w:t>
      </w:r>
      <w:r>
        <w:rPr>
          <w:vertAlign w:val="superscript"/>
        </w:rPr>
        <w:t xml:space="preserve">−2</w:t>
      </w:r>
      <w:r>
        <w:t xml:space="preserve">d</w:t>
      </w:r>
      <w:r>
        <w:rPr>
          <w:vertAlign w:val="superscript"/>
        </w:rPr>
        <w:t xml:space="preserve">−1</w:t>
      </w:r>
      <w:r>
        <w:t xml:space="preserve">). Both PE-rich strains achieved fastest growth rates above peak PAR of ~300 µmol photons m</w:t>
      </w:r>
      <w:r>
        <w:rPr>
          <w:vertAlign w:val="superscript"/>
        </w:rPr>
        <w:t xml:space="preserve">−2</w:t>
      </w:r>
      <w:r>
        <w:t xml:space="preserve">s</w:t>
      </w:r>
      <w:r>
        <w:rPr>
          <w:vertAlign w:val="superscript"/>
        </w:rPr>
        <w:t xml:space="preserve">−1</w:t>
      </w:r>
      <w:r>
        <w:t xml:space="preserve">, and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 representing the 90</w:t>
      </w:r>
      <w:r>
        <w:rPr>
          <w:vertAlign w:val="superscript"/>
        </w:rPr>
        <w:t xml:space="preserve">th</w:t>
      </w:r>
      <w:r>
        <w:t xml:space="preserve"> </w:t>
      </w:r>
      <w:r>
        <w:t xml:space="preserve">percentile of maximum achieved growth rate. For these strains growth decreased with decreasing photoperiod and decreasing peak PAR. Moreover, PE-rich strains showed strong photoinhibition at peak PAR of 900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CaptionedFigure"/>
      </w:pPr>
      <w:r>
        <w:drawing>
          <wp:inline>
            <wp:extent cx="5943600" cy="5630778"/>
            <wp:effectExtent b="0" l="0" r="0" t="0"/>
            <wp:docPr descr="Figure 4: A contour plot of a Generalized Additive Model (GAM) representing the chlorophyll specific growth rate (d−1) for two PhycoCyanin(PC)-rich cultures (A; 056, B; 077) and two PhycoErythrin(PE)-rich cultures (C; 048, D; 127) of Synechococcus sp. originating from the Baltic Sea. Cultures were grown at 30, 90, 180, 300, 600, or 900 peak PAR µmol photons m−2s−1; and photoperiods of 8, 12, 16, or 24 h. Legends represent a colour gradient of growth rate (µ; d−1) from no growth (white) to 3.0 d−1 (dark green for PC-rich_056, light green for PC-rich_077, light red for PE-rich_048 or dark red for PE-rich_127 strains). Labeled contour lines indicate the 90%, 50%, and 10% quantiles for achieved growth rate. Labeled dashed contour lines indicate areas where the cumulative diel photon dose (µmol photons m−2d−1) remains the same." title="" id="49" name="Picture"/>
            <a:graphic>
              <a:graphicData uri="http://schemas.openxmlformats.org/drawingml/2006/picture">
                <pic:pic>
                  <pic:nvPicPr>
                    <pic:cNvPr descr="../Output/Figures/Fig_GAM_Colour.png" id="50" name="Picture"/>
                    <pic:cNvPicPr>
                      <a:picLocks noChangeArrowheads="1" noChangeAspect="1"/>
                    </pic:cNvPicPr>
                  </pic:nvPicPr>
                  <pic:blipFill>
                    <a:blip r:embed="rId48"/>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1" w:name="fig:GAM"/>
      <w:bookmarkEnd w:id="51"/>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w:t>
      </w:r>
      <w:r>
        <w:t xml:space="preserve"> </w:t>
      </w:r>
      <w:r>
        <w:t xml:space="preserve">for two PhycoCyanin(PC)-rich cultures (A; 056, B; 077) and two PhycoErythrin(PE)-rich cultures (C; 048, D;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represent a colour gradient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Labeled dashed contour lines indicate areas where the cumulative diel photon dose (µmol photons m</w:t>
      </w:r>
      <w:r>
        <w:rPr>
          <w:vertAlign w:val="superscript"/>
        </w:rPr>
        <w:t xml:space="preserve">−2</w:t>
      </w:r>
      <w:r>
        <w:t xml:space="preserve">d</w:t>
      </w:r>
      <w:r>
        <w:rPr>
          <w:vertAlign w:val="superscript"/>
        </w:rPr>
        <w:t xml:space="preserve">−1</w:t>
      </w:r>
      <w:r>
        <w:t xml:space="preserve">) remains the same.</w:t>
      </w:r>
    </w:p>
    <w:p>
      <w:pPr>
        <w:pStyle w:val="BodyText"/>
      </w:pPr>
      <w:r>
        <w:t xml:space="preserve">We used logistic curve fits (Fig. S5)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different photoperiods (8, 12, 16, or 24 h; ANOVA,</w:t>
      </w:r>
      <w:r>
        <w:t xml:space="preserve"> </w:t>
      </w:r>
      <w:r>
        <w:rPr>
          <w:iCs/>
          <w:i/>
        </w:rPr>
        <w:t xml:space="preserve">p</w:t>
      </w:r>
      <w:r>
        <w:t xml:space="preserve"> </w:t>
      </w:r>
      <w:r>
        <w:t xml:space="preserve">&lt; 0.05; Fig.</w:t>
      </w:r>
      <w:r>
        <w:t xml:space="preserve"> </w:t>
      </w:r>
      <w:r>
        <w:t xml:space="preserve">5</w:t>
      </w:r>
      <w:r>
        <w:t xml:space="preserve">, Table S3).</w:t>
      </w:r>
    </w:p>
    <w:p>
      <w:pPr>
        <w:pStyle w:val="BodyText"/>
      </w:pPr>
      <w:r>
        <w:t xml:space="preserve">Strains also showed distinct growth rate responses to cumulative diel PUR, depending upon peak PAR (Fig.</w:t>
      </w:r>
      <w:r>
        <w:t xml:space="preserve"> </w:t>
      </w:r>
      <w:r>
        <w:t xml:space="preserve">6</w:t>
      </w:r>
      <w:r>
        <w:t xml:space="preserve">). Strains generally showed differential growth rate responses to cumulative diel PUR dose at different peak-PAR,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S4). A caveat to these findings is that cumulative diel photon dose is a product of photoperiod and PAR, so the highest levels of cumulative PUR dose are only achieved under the 600 or 900 µµmol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S6, S7 and Table S5, S6 in Supplemental material).</w:t>
      </w:r>
    </w:p>
    <w:p>
      <w:pPr>
        <w:pStyle w:val="CaptionedFigure"/>
      </w:pPr>
      <w:r>
        <w:drawing>
          <wp:inline>
            <wp:extent cx="5943600" cy="7641771"/>
            <wp:effectExtent b="0" l="0" r="0" t="0"/>
            <wp:docPr descr="Figure 5: Chlorophyll specific exponential growth rates (d−1) vs. cumulative diel Photosynthetically Usable Radiation (PUR, µmol photons m−2d−1).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53" name="Picture"/>
            <a:graphic>
              <a:graphicData uri="http://schemas.openxmlformats.org/drawingml/2006/picture">
                <pic:pic>
                  <pic:nvPicPr>
                    <pic:cNvPr descr="../Output/Figures/Fig_GrowthRate_Photoperiod_PUR.png" id="54" name="Picture"/>
                    <pic:cNvPicPr>
                      <a:picLocks noChangeArrowheads="1" noChangeAspect="1"/>
                    </pic:cNvPicPr>
                  </pic:nvPicPr>
                  <pic:blipFill>
                    <a:blip r:embed="rId5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5" w:name="fig:GrowthRatePhotoperiodPUR"/>
      <w:bookmarkEnd w:id="55"/>
      <w:r>
        <w:t xml:space="preserve">Figure 5:</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6: Chlorophyll specific exponential growth rates (d−1) vs. cumulative diel Photosynthetically Usable Radiation (PUR, µmol photons m−2d−1).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title="" id="57" name="Picture"/>
            <a:graphic>
              <a:graphicData uri="http://schemas.openxmlformats.org/drawingml/2006/picture">
                <pic:pic>
                  <pic:nvPicPr>
                    <pic:cNvPr descr="../Output/Figures/Fig_GrowthRate_Light_PUR.png" id="58" name="Picture"/>
                    <pic:cNvPicPr>
                      <a:picLocks noChangeArrowheads="1" noChangeAspect="1"/>
                    </pic:cNvPicPr>
                  </pic:nvPicPr>
                  <pic:blipFill>
                    <a:blip r:embed="rId5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9" w:name="fig:GrowthRateLightPUR"/>
      <w:bookmarkEnd w:id="59"/>
      <w:r>
        <w:t xml:space="preserve">Figure 6:</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6256421"/>
            <wp:effectExtent b="0" l="0" r="0" t="0"/>
            <wp:docPr descr="Figure 7: Alpha and Pmax estimated from three parameter model (Harrison and Platt, 1986) for chlorophyll specific exponential growth rates (d−1) vs. cumulative diel Photosynthetically Usable Radiation (PUR, µmol photons m−2d−1). Alpha (panel A) and Pmax (panel B) were estimated from the model fitted separately for 30, 90, 180, 300, 600 together with 900 peak PAR µmol photons m−2s−1. Alpha (panel C) and Pmax (panel D) parameters were estimated from the model fitted separately for 8, 12, 16, 24 h of photoperiod." title="" id="61" name="Picture"/>
            <a:graphic>
              <a:graphicData uri="http://schemas.openxmlformats.org/drawingml/2006/picture">
                <pic:pic>
                  <pic:nvPicPr>
                    <pic:cNvPr descr="../Output/Figures/Fig_GrowthParam.png" id="62" name="Picture"/>
                    <pic:cNvPicPr>
                      <a:picLocks noChangeArrowheads="1" noChangeAspect="1"/>
                    </pic:cNvPicPr>
                  </pic:nvPicPr>
                  <pic:blipFill>
                    <a:blip r:embed="rId60"/>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63" w:name="fig:GrowthParam"/>
      <w:bookmarkEnd w:id="63"/>
      <w:r>
        <w:t xml:space="preserve">Figure 7:</w:t>
      </w:r>
      <w:r>
        <w:t xml:space="preserve"> </w:t>
      </w:r>
      <w:r>
        <w:rPr>
          <w:bCs/>
          <w:b/>
        </w:rPr>
        <w:t xml:space="preserve">Alpha and Pmax estimated from three parameter model (Harrison and Platt, 1986) for 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Alpha (panel A) and Pmax (panel B) were estimated from the model fitted separately for 30, 90, 180, 300, 600 together with 900 peak PAR µmol photons m</w:t>
      </w:r>
      <w:r>
        <w:rPr>
          <w:vertAlign w:val="superscript"/>
        </w:rPr>
        <w:t xml:space="preserve">−2</w:t>
      </w:r>
      <w:r>
        <w:t xml:space="preserve">s</w:t>
      </w:r>
      <w:r>
        <w:rPr>
          <w:vertAlign w:val="superscript"/>
        </w:rPr>
        <w:t xml:space="preserve">−1</w:t>
      </w:r>
      <w:r>
        <w:t xml:space="preserve">. Alpha (panel C) and Pmax (panel D) parameters were estimated from the model fitted separately for 8, 12, 16, 24 h of photoperiod.</w:t>
      </w:r>
    </w:p>
    <w:bookmarkEnd w:id="64"/>
    <w:bookmarkStart w:id="69" w:name="Xcf8f167bbdb2a1c371f4444675d44f0ce71093d"/>
    <w:p>
      <w:pPr>
        <w:pStyle w:val="Heading2"/>
      </w:pPr>
      <w:r>
        <w:t xml:space="preserve">Decreasing PUR/PAR ratio with increasing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8</w:t>
      </w:r>
      <w:r>
        <w:t xml:space="preserve">). For the two PC-rich and, particularly, for the two PE-rich cultures of</w:t>
      </w:r>
      <w:r>
        <w:t xml:space="preserve"> </w:t>
      </w:r>
      <w:r>
        <w:rPr>
          <w:iCs/>
          <w:i/>
        </w:rPr>
        <w:t xml:space="preserve">Synechococcus</w:t>
      </w:r>
      <w:r>
        <w:t xml:space="preserve"> </w:t>
      </w:r>
      <w:r>
        <w:t xml:space="preserve">sp. PUR/PAR decayed exponentially with increasing cumulative diel PAR, pooling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Also, λ, describing exponential decay constant, for PE-rich strains was almost 2-fold higher compared to PC-rich picocyanobacteria.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to increasing cumulative diel PAR dampens and remains constant for all strains in the range y</w:t>
      </w:r>
      <w:r>
        <w:rPr>
          <w:vertAlign w:val="subscript"/>
        </w:rPr>
        <w:t xml:space="preserve">f</w:t>
      </w:r>
      <w:r>
        <w:t xml:space="preserve"> </w:t>
      </w:r>
      <w:r>
        <w:t xml:space="preserve">= 0.4 – 0.5, except PE-rich_048.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The same decaying trend was observed for Phycobiliprotein to Chl</w:t>
      </w:r>
      <w:r>
        <w:t xml:space="preserve"> </w:t>
      </w:r>
      <w:r>
        <w:rPr>
          <w:iCs/>
          <w:i/>
        </w:rPr>
        <w:t xml:space="preserve">a</w:t>
      </w:r>
      <w:r>
        <w:t xml:space="preserve"> </w:t>
      </w:r>
      <w:r>
        <w:t xml:space="preserve">ratio (µg/µg) across cumulative diel PAR (Fig. S8).</w:t>
      </w:r>
    </w:p>
    <w:p>
      <w:pPr>
        <w:pStyle w:val="CaptionedFigure"/>
      </w:pPr>
      <w:r>
        <w:drawing>
          <wp:inline>
            <wp:extent cx="5943600" cy="7641771"/>
            <wp:effectExtent b="0" l="0" r="0" t="0"/>
            <wp:docPr descr="Figure 8: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6" name="Picture"/>
            <a:graphic>
              <a:graphicData uri="http://schemas.openxmlformats.org/drawingml/2006/picture">
                <pic:pic>
                  <pic:nvPicPr>
                    <pic:cNvPr descr="../Output/Figures/Fig_PURPARRatio.png" id="67" name="Picture"/>
                    <pic:cNvPicPr>
                      <a:picLocks noChangeArrowheads="1" noChangeAspect="1"/>
                    </pic:cNvPicPr>
                  </pic:nvPicPr>
                  <pic:blipFill>
                    <a:blip r:embed="rId6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8" w:name="fig:PURPARRatio"/>
      <w:bookmarkEnd w:id="68"/>
      <w:r>
        <w:t xml:space="preserve">Figure 8:</w:t>
      </w:r>
      <w:r>
        <w:t xml:space="preserve"> </w:t>
      </w:r>
      <w:r>
        <w:rPr>
          <w:bCs/>
          <w:b/>
        </w:rPr>
        <w:t xml:space="preserve">Changes in PUR/PAR 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9"/>
    <w:bookmarkStart w:id="78" w:name="Xb555db924db9fdd975ae8b445b7267d35d0552f"/>
    <w:p>
      <w:pPr>
        <w:pStyle w:val="Heading2"/>
      </w:pPr>
      <w:r>
        <w:t xml:space="preserve">Decreasing effective absorption cross section of PSII with increasing cumulative diel PAR</w:t>
      </w:r>
    </w:p>
    <w:p>
      <w:pPr>
        <w:pStyle w:val="FirstParagraph"/>
      </w:pPr>
      <w:r>
        <w:t xml:space="preserve">We estimated the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9</w:t>
      </w:r>
      <w:r>
        <w:t xml:space="preserve">).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Supplementary material (Fig. S9,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Although all strains showed this response pattern, the exponential decay fits differed significantly among two PC-rich strains and PE-rich_048 during their exponential phase of growth (ANOVA,</w:t>
      </w:r>
      <w:r>
        <w:t xml:space="preserve"> </w:t>
      </w:r>
      <w:r>
        <w:rPr>
          <w:iCs/>
          <w:i/>
        </w:rPr>
        <w:t xml:space="preserve">p</w:t>
      </w:r>
      <w:r>
        <w:t xml:space="preserve"> </w:t>
      </w:r>
      <w:r>
        <w:t xml:space="preserve">&lt; 0.05; Table S11). PE-rich strains showed higher σPSIIʹ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PC-rich strains however, decayed parameter λ remained at a similar level for all cultures. During pre-stationary phase this response dampens in the PC-rich strains but persists in the PE-rich strains (Table S11).</w:t>
      </w:r>
      <w:r>
        <w:t xml:space="preserve"> </w:t>
      </w:r>
      <m:oMath>
        <m:r>
          <m:t>σ</m:t>
        </m:r>
      </m:oMath>
      <w:r>
        <w:rPr>
          <w:vertAlign w:val="subscript"/>
        </w:rPr>
        <w:t xml:space="preserve">PSII</w:t>
      </w:r>
      <w:r>
        <w:t xml:space="preserve">ʹ for the PE-rich strains during this phase of growth still remain higher (y</w:t>
      </w:r>
      <w:r>
        <w:rPr>
          <w:vertAlign w:val="subscript"/>
        </w:rPr>
        <w:t xml:space="preserve">f</w:t>
      </w:r>
      <w:r>
        <w:t xml:space="preserve"> </w:t>
      </w:r>
      <w:r>
        <w:t xml:space="preserve">between 2.3 – 3.0) than the PC-rich strains (y</w:t>
      </w:r>
      <w:r>
        <w:rPr>
          <w:vertAlign w:val="subscript"/>
        </w:rPr>
        <w:t xml:space="preserve">f</w:t>
      </w:r>
      <w:r>
        <w:t xml:space="preserve"> </w:t>
      </w:r>
      <w:r>
        <w:t xml:space="preserve">between 1.4 – 1.7) even as cumulative diel photon dose increases. Also,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7641771"/>
            <wp:effectExtent b="0" l="0" r="0" t="0"/>
            <wp:docPr descr="Figure 9: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71" name="Picture"/>
            <a:graphic>
              <a:graphicData uri="http://schemas.openxmlformats.org/drawingml/2006/picture">
                <pic:pic>
                  <pic:nvPicPr>
                    <pic:cNvPr descr="../Output/Figures/Fig_Sigma590.png" id="72" name="Picture"/>
                    <pic:cNvPicPr>
                      <a:picLocks noChangeArrowheads="1" noChangeAspect="1"/>
                    </pic:cNvPicPr>
                  </pic:nvPicPr>
                  <pic:blipFill>
                    <a:blip r:embed="rId7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3" w:name="fig:Sigma590"/>
      <w:bookmarkEnd w:id="73"/>
      <w:r>
        <w:t xml:space="preserve">Figure 9:</w:t>
      </w:r>
      <w:r>
        <w:t xml:space="preserve"> </w:t>
      </w:r>
      <w:r>
        <w:rPr>
          <w:bCs/>
          <w:b/>
        </w:rPr>
        <w:t xml:space="preserve">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We also estimated the changes of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excitation of phycobilisomes (Ex590nm, orange) vs. Phycobiliprotein to Chl</w:t>
      </w:r>
      <w:r>
        <w:t xml:space="preserve"> </w:t>
      </w:r>
      <w:r>
        <w:rPr>
          <w:iCs/>
          <w:i/>
        </w:rPr>
        <w:t xml:space="preserve">a</w:t>
      </w:r>
      <w:r>
        <w:t xml:space="preserve"> </w:t>
      </w:r>
      <w:r>
        <w:t xml:space="preserve">ratio (µg/µg) for two PC-rich and two PE-rich cultures of Synechococcus sp. (Fig. 8). Moreover, changes in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 Table S15) and</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S10 and Table S13) are shown in Supplementary materials.</w:t>
      </w:r>
    </w:p>
    <w:p>
      <w:pPr>
        <w:pStyle w:val="BodyText"/>
      </w:pPr>
      <w:r>
        <w:t xml:space="preserve">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vary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10</w:t>
      </w:r>
      <w:r>
        <w:t xml:space="preserve">).</w:t>
      </w:r>
      <w:r>
        <w:t xml:space="preserve"> </w:t>
      </w:r>
      <m:oMath>
        <m:r>
          <m:t>σ</m:t>
        </m:r>
      </m:oMath>
      <w:r>
        <w:rPr>
          <w:vertAlign w:val="subscript"/>
        </w:rPr>
        <w:t xml:space="preserve">PSII</w:t>
      </w:r>
      <w:r>
        <w:t xml:space="preserve">ʹ excited through phycobilisome absorbance at Ex</w:t>
      </w:r>
      <w:r>
        <w:rPr>
          <w:vertAlign w:val="subscript"/>
        </w:rPr>
        <w:t xml:space="preserve">590nm</w:t>
      </w:r>
      <w:r>
        <w:t xml:space="preserve"> </w:t>
      </w:r>
      <w:r>
        <w:t xml:space="preserve">shows consistent positive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w:t>
      </w:r>
      <w:r>
        <w:t xml:space="preserve"> </w:t>
      </w:r>
      <m:oMath>
        <m:r>
          <m:t>σ</m:t>
        </m:r>
      </m:oMath>
      <w:r>
        <w:rPr>
          <w:vertAlign w:val="subscript"/>
        </w:rPr>
        <w:t xml:space="preserve">PSII</w:t>
      </w:r>
      <w:r>
        <w:t xml:space="preserve">ʹ under different measurement PAR, beyond pigment composition. Under pre-stationary phase the relationship between</w:t>
      </w:r>
      <w:r>
        <w:t xml:space="preserve"> </w:t>
      </w:r>
      <m:oMath>
        <m:r>
          <m:t>σ</m:t>
        </m:r>
      </m:oMath>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CaptionedFigure"/>
      </w:pPr>
      <w:r>
        <w:drawing>
          <wp:inline>
            <wp:extent cx="5943600" cy="7641771"/>
            <wp:effectExtent b="0" l="0" r="0" t="0"/>
            <wp:docPr descr="Figure 10: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75" name="Picture"/>
            <a:graphic>
              <a:graphicData uri="http://schemas.openxmlformats.org/drawingml/2006/picture">
                <pic:pic>
                  <pic:nvPicPr>
                    <pic:cNvPr descr="../Output/Figures/Fig_SigmaPig590.png" id="76" name="Picture"/>
                    <pic:cNvPicPr>
                      <a:picLocks noChangeArrowheads="1" noChangeAspect="1"/>
                    </pic:cNvPicPr>
                  </pic:nvPicPr>
                  <pic:blipFill>
                    <a:blip r:embed="rId74"/>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7" w:name="fig:SigmaPig590"/>
      <w:bookmarkEnd w:id="77"/>
      <w:r>
        <w:t xml:space="preserve">Figure 10:</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Phycobiliprotein)/µg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bookmarkEnd w:id="78"/>
    <w:bookmarkStart w:id="83" w:name="X38a70f174036c1b4d44ab22d0b17d469c0181b0"/>
    <w:p>
      <w:pPr>
        <w:pStyle w:val="Heading2"/>
      </w:pPr>
      <w:r>
        <w:t xml:space="preserve">Response of chlorophyll-specific exponential growth rates to cumulative diel PSII electron flux</w:t>
      </w:r>
    </w:p>
    <w:p>
      <w:pPr>
        <w:pStyle w:val="FirstParagraph"/>
      </w:pPr>
      <w:r>
        <w:t xml:space="preserve">Chlorophyll 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11</w:t>
      </w:r>
      <w:r>
        <w:t xml:space="preserve">, Table S7) and peak PAR (Fig. S11,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CaptionedFigure"/>
      </w:pPr>
      <w:r>
        <w:drawing>
          <wp:inline>
            <wp:extent cx="5943600" cy="7641771"/>
            <wp:effectExtent b="0" l="0" r="0" t="0"/>
            <wp:docPr descr="Figure 11: Chlorophyll 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4). PSII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title="" id="80" name="Picture"/>
            <a:graphic>
              <a:graphicData uri="http://schemas.openxmlformats.org/drawingml/2006/picture">
                <pic:pic>
                  <pic:nvPicPr>
                    <pic:cNvPr descr="../Output/Figures/Fig_GrowthRate_JVPSII_Photoperiod_Chla.png" id="81" name="Picture"/>
                    <pic:cNvPicPr>
                      <a:picLocks noChangeArrowheads="1" noChangeAspect="1"/>
                    </pic:cNvPicPr>
                  </pic:nvPicPr>
                  <pic:blipFill>
                    <a:blip r:embed="rId7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82" w:name="fig:GrowthRateJVPSII"/>
      <w:bookmarkEnd w:id="82"/>
      <w:r>
        <w:t xml:space="preserve">Figure 11:</w:t>
      </w:r>
      <w:r>
        <w:t xml:space="preserve"> </w:t>
      </w:r>
      <w:r>
        <w:rPr>
          <w:bCs/>
          <w:b/>
        </w:rPr>
        <w:t xml:space="preserve">Chlorophyll specific exponential growth rates (d</w:t>
      </w:r>
      <w:r>
        <w:rPr>
          <w:vertAlign w:val="superscript"/>
          <w:bCs/>
          <w:b/>
        </w:rPr>
        <w:t xml:space="preserve">−1</w:t>
      </w:r>
      <w:r>
        <w:rPr>
          <w:bCs/>
          <w:b/>
        </w:rPr>
        <w:t xml:space="preserve">) vs. cumulative diel PSII electron flux (</w:t>
      </w:r>
      <w:r>
        <w:rPr>
          <w:iCs/>
          <w:i/>
          <w:bCs/>
          <w:b/>
        </w:rPr>
        <w:t xml:space="preserve">JV</w:t>
      </w:r>
      <w:r>
        <w:rPr>
          <w:vertAlign w:val="subscript"/>
          <w:bCs/>
          <w:b/>
        </w:rPr>
        <w:t xml:space="preserve">PSII</w:t>
      </w:r>
      <w:r>
        <w:rPr>
          <w:bCs/>
          <w:b/>
        </w:rPr>
        <w:t xml:space="preserve">; µmol e</w:t>
      </w:r>
      <w:r>
        <w:rPr>
          <w:vertAlign w:val="superscript"/>
          <w:bCs/>
          <w:b/>
        </w:rPr>
        <w:t xml:space="preserve">−</w:t>
      </w:r>
      <w:r>
        <w:rPr>
          <w:bCs/>
          <w:b/>
        </w:rPr>
        <w:t xml:space="preserve"> </w:t>
      </w:r>
      <w:r>
        <w:rPr>
          <w:bCs/>
          <w:b/>
        </w:rPr>
        <w:t xml:space="preserve">µmol Chl</w:t>
      </w:r>
      <w:r>
        <w:rPr>
          <w:bCs/>
          <w:b/>
        </w:rPr>
        <w:t xml:space="preserve"> </w:t>
      </w:r>
      <w:r>
        <w:rPr>
          <w:iCs/>
          <w:i/>
          <w:bCs/>
          <w:b/>
        </w:rPr>
        <w:t xml:space="preserve">a</w:t>
      </w:r>
      <w:r>
        <w:rPr>
          <w:vertAlign w:val="superscript"/>
          <w:bCs/>
          <w:b/>
        </w:rPr>
        <w:t xml:space="preserve">−1</w:t>
      </w:r>
      <w:r>
        <w:rPr>
          <w:bCs/>
          <w:b/>
        </w:rPr>
        <w:t xml:space="preserve"> </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S4). PSII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w:t>
      </w:r>
    </w:p>
    <w:bookmarkEnd w:id="83"/>
    <w:bookmarkEnd w:id="84"/>
    <w:bookmarkStart w:id="88" w:name="discussion"/>
    <w:p>
      <w:pPr>
        <w:pStyle w:val="Heading1"/>
      </w:pPr>
      <w:r>
        <w:t xml:space="preserve">Discussion</w:t>
      </w:r>
    </w:p>
    <w:bookmarkStart w:id="85" w:name="Xc38f5c4fe1f206750077316625e8de034509ee3"/>
    <w:p>
      <w:pPr>
        <w:pStyle w:val="Heading2"/>
      </w:pPr>
      <w:r>
        <w:t xml:space="preserve">Influences of photic regime on picocyanobacteria growth and implications for distribution</w:t>
      </w:r>
    </w:p>
    <w:p>
      <w:pPr>
        <w:pStyle w:val="FirstParagraph"/>
      </w:pPr>
      <w:r>
        <w:t xml:space="preserve">Light regimes, including peak level and photoperiod, are major factors affecting the distribution and seasonality of phytoplankters</w:t>
      </w:r>
      <w:r>
        <w:t xml:space="preserve"> </w:t>
      </w:r>
      <w:r>
        <w:t xml:space="preserve">(Erga and Heimdal 1984)</w:t>
      </w:r>
      <w:r>
        <w:t xml:space="preserve">. We found that cumulative diel PUR consistently explain achieved growth rates (µ; d</w:t>
      </w:r>
      <w:r>
        <w:rPr>
          <w:vertAlign w:val="superscript"/>
        </w:rPr>
        <w:t xml:space="preserve">−1</w:t>
      </w:r>
      <w:r>
        <w:t xml:space="preserve">) of PC-rich and PE-rich strains of</w:t>
      </w:r>
      <w:r>
        <w:t xml:space="preserve"> </w:t>
      </w:r>
      <w:r>
        <w:rPr>
          <w:iCs/>
          <w:i/>
        </w:rPr>
        <w:t xml:space="preserve">Synechococcus</w:t>
      </w:r>
      <w:r>
        <w:t xml:space="preserve">, across a matrix of 4 photoperiods (8 – 24 h) and 6 peak PAR (30 – 900 µmol photons m</w:t>
      </w:r>
      <w:r>
        <w:rPr>
          <w:vertAlign w:val="superscript"/>
        </w:rPr>
        <w:t xml:space="preserve">−2</w:t>
      </w:r>
      <w:r>
        <w:t xml:space="preserve">s</w:t>
      </w:r>
      <w:r>
        <w:rPr>
          <w:vertAlign w:val="superscript"/>
        </w:rPr>
        <w:t xml:space="preserve">−1</w:t>
      </w:r>
      <w:r>
        <w:t xml:space="preserve">). All four strains showed saturation of growth rate under increasing cumulative diel PUR, although the achieved estimates of µ</w:t>
      </w:r>
      <w:r>
        <w:rPr>
          <w:vertAlign w:val="subscript"/>
        </w:rPr>
        <w:t xml:space="preserve">max</w:t>
      </w:r>
      <w:r>
        <w:t xml:space="preserve">, and the onset of photoinhibition of growth, varied depending upon strain, photoperiod and peak PAR (Fig. 4-5). Tested strains were generally opportunistic in exploiting higher diel light doses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Plots of growth rates vs. cumulative diel PAR, estimated for exponential phase cultures, show similar patterns (Fig. S5-S6).</w:t>
      </w:r>
    </w:p>
    <w:p>
      <w:pPr>
        <w:pStyle w:val="BodyText"/>
      </w:pPr>
      <w:r>
        <w:t xml:space="preserve">Here, we demonstrated that the maximum growth rate of</w:t>
      </w:r>
      <w:r>
        <w:t xml:space="preserve"> </w:t>
      </w:r>
      <w:r>
        <w:rPr>
          <w:iCs/>
          <w:i/>
        </w:rPr>
        <w:t xml:space="preserve">Synechococcus</w:t>
      </w:r>
      <w:r>
        <w:t xml:space="preserve"> </w:t>
      </w:r>
      <w:r>
        <w:t xml:space="preserve">sp. originating from the Baltic Sea in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which corresponds to doubling time of 3.7 h (Fig. 4-5; Fig. S5-S6); a growth speed never reported for picocyanobacteria before. It is worth noting here that this doubling time of PE-rich</w:t>
      </w:r>
      <w:r>
        <w:t xml:space="preserve"> </w:t>
      </w:r>
      <w:r>
        <w:rPr>
          <w:iCs/>
          <w:i/>
        </w:rPr>
        <w:t xml:space="preserve">Synechococcus</w:t>
      </w:r>
      <w:r>
        <w:t xml:space="preserve"> </w:t>
      </w:r>
      <w:r>
        <w:t xml:space="preserve">sp. is faster than for freshwater</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 noted by</w:t>
      </w:r>
      <w:r>
        <w:t xml:space="preserve"> </w:t>
      </w:r>
      <w:r>
        <w:t xml:space="preserve">Sakamoto and Bryant (1999)</w:t>
      </w:r>
      <w:r>
        <w:t xml:space="preserve"> </w:t>
      </w:r>
      <w:r>
        <w:t xml:space="preserve">and even for model species</w:t>
      </w:r>
      <w:r>
        <w:t xml:space="preserve"> </w:t>
      </w:r>
      <w:r>
        <w:rPr>
          <w:iCs/>
          <w:i/>
        </w:rPr>
        <w:t xml:space="preserve">Synechocystis</w:t>
      </w:r>
      <w:r>
        <w:t xml:space="preserve"> </w:t>
      </w:r>
      <w:r>
        <w:t xml:space="preserve">sp. PCC 6803 (doubling time up to 4.3 h) described by</w:t>
      </w:r>
      <w:r>
        <w:t xml:space="preserve"> </w:t>
      </w:r>
      <w:r>
        <w:t xml:space="preserve">van Alphen et al. (2018)</w:t>
      </w:r>
      <w:r>
        <w:t xml:space="preserve"> </w:t>
      </w:r>
      <w:r>
        <w:t xml:space="preserve">and</w:t>
      </w:r>
      <w:r>
        <w:t xml:space="preserve"> </w:t>
      </w:r>
      <w:r>
        <w:t xml:space="preserve">Zavřel et al. (2015)</w:t>
      </w:r>
      <w:r>
        <w:t xml:space="preserve">. For comparison, the fastest achieved growth rate occurs in genetically modified green algae</w:t>
      </w:r>
      <w:r>
        <w:t xml:space="preserve"> </w:t>
      </w:r>
      <w:r>
        <w:rPr>
          <w:iCs/>
          <w:i/>
        </w:rPr>
        <w:t xml:space="preserve">Picochlorum celeri</w:t>
      </w:r>
      <w:r>
        <w:t xml:space="preserve"> </w:t>
      </w:r>
      <w:r>
        <w:t xml:space="preserve">with a maximum of about 6.8 d</w:t>
      </w:r>
      <w:r>
        <w:rPr>
          <w:vertAlign w:val="superscript"/>
        </w:rPr>
        <w:t xml:space="preserve">−1</w:t>
      </w:r>
      <w:r>
        <w:t xml:space="preserve"> </w:t>
      </w:r>
      <w:r>
        <w:t xml:space="preserve">and ~2.5 h doubling time under optimal growth conditions obtained in specially prepared bioreactors</w:t>
      </w:r>
      <w:r>
        <w:t xml:space="preserve"> </w:t>
      </w:r>
      <w:r>
        <w:t xml:space="preserve">(Krishnan et al. 2021)</w:t>
      </w:r>
      <w:r>
        <w:t xml:space="preserve">.</w:t>
      </w:r>
    </w:p>
    <w:p>
      <w:pPr>
        <w:pStyle w:val="BodyText"/>
      </w:pPr>
      <w:r>
        <w:t xml:space="preserve">Changes in photoperiod trigger acclimation responses, shaping the temporal dynamics and community structure of phytoplankton</w:t>
      </w:r>
      <w:r>
        <w:t xml:space="preserve"> </w:t>
      </w:r>
      <w:r>
        <w:t xml:space="preserve">(Theus et al. 2022; Longobardi et al. 2022)</w:t>
      </w:r>
      <w:r>
        <w:t xml:space="preserve"> </w:t>
      </w:r>
      <w:r>
        <w:t xml:space="preserve">however, its effect on the cyanobacteria ecophysiology is not sufficiently and frequently investigated. We indeed find that each tested cyanobacterial strain shows specific influences of photoperiod, upon the response of growth rate to cumulative diel PUR (Fig. 4, S5). Both PC-rich and PE-rich strains of</w:t>
      </w:r>
      <w:r>
        <w:t xml:space="preserve"> </w:t>
      </w:r>
      <w:r>
        <w:rPr>
          <w:iCs/>
          <w:i/>
        </w:rPr>
        <w:t xml:space="preserve">Synechococcus</w:t>
      </w:r>
      <w:r>
        <w:t xml:space="preserve"> </w:t>
      </w:r>
      <w:r>
        <w:t xml:space="preserve">sp. exhibited the fastest growth rates under continuous light (24 h photoperiod). On the other hand,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w:t>
      </w:r>
      <w:r>
        <w:t xml:space="preserve"> </w:t>
      </w:r>
      <w:r>
        <w:t xml:space="preserve">Jacob-Lopes et al. (2009)</w:t>
      </w:r>
      <w:r>
        <w:t xml:space="preserve"> </w:t>
      </w:r>
      <w:r>
        <w:t xml:space="preserve">showed a linear reduction in biomass production of picocyanobacterium</w:t>
      </w:r>
      <w:r>
        <w:t xml:space="preserve"> </w:t>
      </w:r>
      <w:r>
        <w:rPr>
          <w:iCs/>
          <w:i/>
        </w:rPr>
        <w:t xml:space="preserve">Aphanothece microscopica</w:t>
      </w:r>
      <w:r>
        <w:t xml:space="preserve"> </w:t>
      </w:r>
      <w:r>
        <w:t xml:space="preserve">with reductions in the duration of the light period. Moreover, the effect of photoperiod on the growth rate of PC-rich</w:t>
      </w:r>
      <w:r>
        <w:t xml:space="preserve"> </w:t>
      </w:r>
      <w:r>
        <w:rPr>
          <w:iCs/>
          <w:i/>
        </w:rPr>
        <w:t xml:space="preserve">Synechococcus</w:t>
      </w:r>
      <w:r>
        <w:t xml:space="preserve"> </w:t>
      </w:r>
      <w:r>
        <w:t xml:space="preserve">PCC 6715 was examined by</w:t>
      </w:r>
      <w:r>
        <w:t xml:space="preserve"> </w:t>
      </w:r>
      <w:r>
        <w:t xml:space="preserve">Klepacz-Smółka et al. (2020)</w:t>
      </w:r>
      <w:r>
        <w:t xml:space="preserve">. In these studies, PC-rich picocyanobacteria also showed faster specific growth rate in 24 h photoperiod (µ = 2.0 d</w:t>
      </w:r>
      <w:r>
        <w:rPr>
          <w:vertAlign w:val="superscript"/>
        </w:rPr>
        <w:t xml:space="preserve">−1</w:t>
      </w:r>
      <w:r>
        <w:t xml:space="preserve">) than 16 h photoperiod (µ = 1.9 d</w:t>
      </w:r>
      <w:r>
        <w:rPr>
          <w:vertAlign w:val="superscript"/>
        </w:rPr>
        <w:t xml:space="preserve">−1</w:t>
      </w:r>
      <w:r>
        <w:t xml:space="preserve">), which confirmed the adaptation and preference of</w:t>
      </w:r>
      <w:r>
        <w:t xml:space="preserve"> </w:t>
      </w:r>
      <w:r>
        <w:rPr>
          <w:iCs/>
          <w:i/>
        </w:rPr>
        <w:t xml:space="preserve">Synechococcus</w:t>
      </w:r>
      <w:r>
        <w:t xml:space="preserve"> </w:t>
      </w:r>
      <w:r>
        <w:t xml:space="preserve">sp. to existence in continuous illumination conditions. Ability to grow both PC-rich and PE-rich picocyanobacteria under continuous light means they could, potentially, grow in a warmer polar summer water.</w:t>
      </w:r>
    </w:p>
    <w:p>
      <w:pPr>
        <w:pStyle w:val="BodyText"/>
      </w:pPr>
      <w:r>
        <w:t xml:space="preserve">Studies have already shown the occurrence of</w:t>
      </w:r>
      <w:r>
        <w:t xml:space="preserve"> </w:t>
      </w:r>
      <w:r>
        <w:rPr>
          <w:iCs/>
          <w:i/>
        </w:rPr>
        <w:t xml:space="preserve">Synechococcus</w:t>
      </w:r>
      <w:r>
        <w:t xml:space="preserve"> </w:t>
      </w:r>
      <w:r>
        <w:t xml:space="preserve">in polar regions (reviewed in detail by</w:t>
      </w:r>
      <w:r>
        <w:t xml:space="preserve"> </w:t>
      </w:r>
      <w:r>
        <w:t xml:space="preserve">Velichko et al. (2021)</w:t>
      </w:r>
      <w:r>
        <w:t xml:space="preserve">), exceeding even latitude 80°S and 80°N.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Light level is another key driver of picocyanobacteria productivity</w:t>
      </w:r>
      <w:r>
        <w:t xml:space="preserve"> </w:t>
      </w:r>
      <w:r>
        <w:t xml:space="preserve">(Pick 1991; Six et al. 2007; Flombaum et al. 2013; Six et al. 2021)</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 5, S6). In this study, chlorophyll 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PE-rich strains will grow under higher irradiance.</w:t>
      </w:r>
    </w:p>
    <w:p>
      <w:pPr>
        <w:pStyle w:val="BodyText"/>
      </w:pPr>
      <w:r>
        <w:rPr>
          <w:iCs/>
          <w:i/>
        </w:rPr>
        <w:t xml:space="preserve">Synechococcus</w:t>
      </w:r>
      <w:r>
        <w:t xml:space="preserve"> </w:t>
      </w:r>
      <w:r>
        <w:t xml:space="preserve">sp., a widely studied picocyanobacterial genus, exhibits remarkable acclimation within a strain to different light intensities</w:t>
      </w:r>
      <w:r>
        <w:t xml:space="preserve"> </w:t>
      </w:r>
      <w:r>
        <w:t xml:space="preserve">(Śliwińska-Wilczewska et al. 2018a, 2020; Aguilera et al. 2023)</w:t>
      </w:r>
      <w:r>
        <w:t xml:space="preserve">. Under high light,</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Large numbers of</w:t>
      </w:r>
      <w:r>
        <w:t xml:space="preserve"> </w:t>
      </w:r>
      <w:r>
        <w:rPr>
          <w:iCs/>
          <w:i/>
        </w:rPr>
        <w:t xml:space="preserve">Synechococcus</w:t>
      </w:r>
      <w:r>
        <w:t xml:space="preserve"> </w:t>
      </w:r>
      <w:r>
        <w:t xml:space="preserve">sp. are recorded in various geographical regions around the world</w:t>
      </w:r>
      <w:r>
        <w:t xml:space="preserve"> </w:t>
      </w:r>
      <w:r>
        <w:t xml:space="preserve">(Śliwińska-Wilczewska et al. 2018b)</w:t>
      </w:r>
      <w:r>
        <w:t xml:space="preserve"> </w:t>
      </w:r>
      <w:r>
        <w:t xml:space="preserve">and characterized by different photic regimes. Our work indicates that</w:t>
      </w:r>
      <w:r>
        <w:t xml:space="preserve"> </w:t>
      </w:r>
      <w:r>
        <w:rPr>
          <w:iCs/>
          <w:i/>
        </w:rPr>
        <w:t xml:space="preserve">Synechococcus</w:t>
      </w:r>
      <w:r>
        <w:t xml:space="preserve"> </w:t>
      </w:r>
      <w:r>
        <w:t xml:space="preserve">can persist under extreme light conditions and adapt to fluctuating photoperiods. Thus, in regions and periods with a longer photoperiod, both PC-rich and PE-rich</w:t>
      </w:r>
      <w:r>
        <w:t xml:space="preserve"> </w:t>
      </w:r>
      <w:r>
        <w:rPr>
          <w:iCs/>
          <w:i/>
        </w:rPr>
        <w:t xml:space="preserve">Synechococcus</w:t>
      </w:r>
      <w:r>
        <w:t xml:space="preserve"> </w:t>
      </w:r>
      <w:r>
        <w:t xml:space="preserve">sp. may become dominant species in the surface waters, but suffer when the photoperiod is shorter.</w:t>
      </w:r>
    </w:p>
    <w:bookmarkEnd w:id="85"/>
    <w:bookmarkStart w:id="86" w:name="Xfd89a128de760e8580181f65cde84fda58bf703"/>
    <w:p>
      <w:pPr>
        <w:pStyle w:val="Heading2"/>
      </w:pPr>
      <w:r>
        <w:t xml:space="preserve">Photic regime and growth phase influences on picocyanobacteria light capture</w:t>
      </w:r>
    </w:p>
    <w:p>
      <w:pPr>
        <w:pStyle w:val="FirstParagraph"/>
      </w:pPr>
      <w:r>
        <w:t xml:space="preserve">Phytoplankton, as primary producers, use PUR for photosynthesis. PUR is always smaller than PAR (PUR &lt; PAR), and depends on the spectral composition of the PAR, versus the phytoplankton pigment composition determining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 of phytoplankton cells, which changes depending upon growth conditions and the phase of growth.</w:t>
      </w:r>
    </w:p>
    <w:p>
      <w:pPr>
        <w:pStyle w:val="BodyText"/>
      </w:pPr>
      <w:r>
        <w:t xml:space="preserve">We found that under nutrient replete exponential growth strains show consistent patterns of PUR/PAR ratio versus cumulative diel photon doses, across different combinations of photoperiod and peak PAR. Although all strains show this response pattern, the exponential decay model parameters differ significantly among strains and phase of growth. The PE-rich strains show a much higher PUR/PAR ratio under low cumulative diel photon dose during their exponential phase of growth, but decay towards a plateau close to the PC-rich strains as cumulative diel photon dose increases (Fig. 6).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w:t>
      </w:r>
      <w:r>
        <w:t xml:space="preserve"> </w:t>
      </w:r>
      <w:r>
        <w:t xml:space="preserve">(Śliwińska-Wilczewska et al. 2018a)</w:t>
      </w:r>
      <w:r>
        <w:t xml:space="preserve">. Our work proved that PE-rich strains in the exponential phase of growth demonstrated high ability to modulate light capacity whereas PC-rich strains almost fixed PUR/PAR ratio. It means that PE-rich strains of</w:t>
      </w:r>
      <w:r>
        <w:t xml:space="preserve"> </w:t>
      </w:r>
      <w:r>
        <w:rPr>
          <w:iCs/>
          <w:i/>
        </w:rPr>
        <w:t xml:space="preserve">Synechococcus</w:t>
      </w:r>
      <w:r>
        <w:t xml:space="preserve"> </w:t>
      </w:r>
      <w:r>
        <w:t xml:space="preserve">sp. better exploit available radiation under low cumulative diel photon dose during their exponential phase of growth than PC-rich strains due to the greater plasticity of their photosynthetic pigments.</w:t>
      </w:r>
    </w:p>
    <w:p>
      <w:pPr>
        <w:pStyle w:val="BodyText"/>
      </w:pPr>
      <w:r>
        <w:t xml:space="preserve">What is more, during pre-stationary phase of growth, the response of PUR/PAR for PC-rich and PE-rich strains remains constant even when cumulative diel photon dose increases. A possible explanation for this observation may be a high CO</w:t>
      </w:r>
      <w:r>
        <w:rPr>
          <w:vertAlign w:val="subscript"/>
        </w:rPr>
        <w:t xml:space="preserve">2</w:t>
      </w:r>
      <w:r>
        <w:t xml:space="preserve"> </w:t>
      </w:r>
      <w:r>
        <w:t xml:space="preserve">concentration in the culture medium.</w:t>
      </w:r>
      <w:r>
        <w:t xml:space="preserve"> </w:t>
      </w:r>
      <w:r>
        <w:t xml:space="preserve">Mou et al. (2018)</w:t>
      </w:r>
      <w:r>
        <w:t xml:space="preserve"> </w:t>
      </w:r>
      <w:r>
        <w:t xml:space="preserve">demonstrated that elevated CO</w:t>
      </w:r>
      <w:r>
        <w:rPr>
          <w:vertAlign w:val="subscript"/>
        </w:rPr>
        <w:t xml:space="preserve">2</w:t>
      </w:r>
      <w:r>
        <w:t xml:space="preserve"> </w:t>
      </w:r>
      <w:r>
        <w:t xml:space="preserve">increased the light utilization efficiency during the exponential and stationary phases, and elevated the phycobilisome:chlorophyll</w:t>
      </w:r>
      <w:r>
        <w:t xml:space="preserve"> </w:t>
      </w:r>
      <w:r>
        <w:rPr>
          <w:iCs/>
          <w:i/>
        </w:rPr>
        <w:t xml:space="preserve">a</w:t>
      </w:r>
      <w:r>
        <w:t xml:space="preserve"> </w:t>
      </w:r>
      <w:r>
        <w:t xml:space="preserve">ratio in</w:t>
      </w:r>
      <w:r>
        <w:t xml:space="preserve"> </w:t>
      </w:r>
      <w:r>
        <w:rPr>
          <w:iCs/>
          <w:i/>
        </w:rPr>
        <w:t xml:space="preserve">Synechococcus</w:t>
      </w:r>
      <w:r>
        <w:t xml:space="preserve"> </w:t>
      </w:r>
      <w:r>
        <w:t xml:space="preserve">sp. This means that even aging cells undergoing physiological regulations are able to maintain the total pigment content at a level that allows them to evenly absorb available energy, regardless of the prevailing phototic regime, as long as they have access to high concentrations of CO</w:t>
      </w:r>
      <w:r>
        <w:rPr>
          <w:vertAlign w:val="subscript"/>
        </w:rPr>
        <w:t xml:space="preserve">2</w:t>
      </w:r>
      <w:r>
        <w:t xml:space="preserve">.</w:t>
      </w:r>
    </w:p>
    <w:bookmarkEnd w:id="86"/>
    <w:bookmarkStart w:id="87" w:name="X90ea3b7bf4ec09bba61d15ba276bb983f080c47"/>
    <w:p>
      <w:pPr>
        <w:pStyle w:val="Heading2"/>
      </w:pPr>
      <w:r>
        <w:t xml:space="preserve">Effective absorption cross section of PSII and cumulative diel PSII electron flux of PC-rich and PE-rich picocyanobacteria</w:t>
      </w:r>
    </w:p>
    <w:p>
      <w:pPr>
        <w:pStyle w:val="FirstParagraph"/>
      </w:pPr>
      <w:r>
        <w:t xml:space="preserve">The effective absorption cross section for photochemistry of PSII in the light (</w:t>
      </w:r>
      <m:oMath>
        <m:r>
          <m:t>σ</m:t>
        </m:r>
      </m:oMath>
      <w:r>
        <w:rPr>
          <w:vertAlign w:val="subscript"/>
        </w:rPr>
        <w:t xml:space="preserve">PSII</w:t>
      </w:r>
      <w:r>
        <w:t xml:space="preserve">ʹ) comprises the probability of light capture by PSII and the quantum yield for subsequent photochemistry. In this work,</w:t>
      </w:r>
      <w:r>
        <w:t xml:space="preserve">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measured under diel peak PAR growth light under Ex</w:t>
      </w:r>
      <w:r>
        <w:rPr>
          <w:vertAlign w:val="subscript"/>
        </w:rPr>
        <w:t xml:space="preserve">590nm</w:t>
      </w:r>
      <w:r>
        <w:t xml:space="preserve"> </w:t>
      </w:r>
      <w:r>
        <w:t xml:space="preserve">(orange) excitation for two PC-rich and two PE-rich cultures of</w:t>
      </w:r>
      <w:r>
        <w:t xml:space="preserve"> </w:t>
      </w:r>
      <w:r>
        <w:rPr>
          <w:iCs/>
          <w:i/>
        </w:rPr>
        <w:t xml:space="preserve">Synechococcus</w:t>
      </w:r>
      <w:r>
        <w:t xml:space="preserve"> </w:t>
      </w:r>
      <w:r>
        <w:t xml:space="preserve">sp. originating from the Baltic Sea in relation to cumulative diel PAR, across different combinations of photoperiod and peak PAR (Fig. 7). We find, for the first time, that PC-rich and PE-rich strains of</w:t>
      </w:r>
      <w:r>
        <w:t xml:space="preserve"> </w:t>
      </w:r>
      <w:r>
        <w:rPr>
          <w:iCs/>
          <w:i/>
        </w:rPr>
        <w:t xml:space="preserve">Synechococcus</w:t>
      </w:r>
      <w:r>
        <w:t xml:space="preserve"> </w:t>
      </w:r>
      <w:r>
        <w:t xml:space="preserve">show consistent patterns of effective absorption cross section for PSII photochemistry, versus increasing cumulative diel PAR doses, with no statistically detectable influence of photoperiod nor of peak PAR in our determinations. Moreover, we demonstrated that the</w:t>
      </w:r>
      <w:r>
        <w:t xml:space="preserve"> </w:t>
      </w:r>
      <m:oMath>
        <m:r>
          <m:t>σ</m:t>
        </m:r>
      </m:oMath>
      <w:r>
        <w:rPr>
          <w:vertAlign w:val="subscript"/>
        </w:rPr>
        <w:t xml:space="preserve">PSII</w:t>
      </w:r>
      <w:r>
        <w:t xml:space="preserve">ʹ excited through chlorophyll absorbance at 445 nm was consistently small across strains and growth conditions (Fig. S9), since in cyanobacteria the number of chlorophyll serving PSII is nearly fixed</w:t>
      </w:r>
      <w:r>
        <w:t xml:space="preserve"> </w:t>
      </w:r>
      <w:r>
        <w:t xml:space="preserve">(Xu et al. 2018)</w:t>
      </w:r>
      <w:r>
        <w:t xml:space="preserve">.</w:t>
      </w:r>
    </w:p>
    <w:p>
      <w:pPr>
        <w:pStyle w:val="BodyText"/>
      </w:pPr>
      <w:r>
        <w:t xml:space="preserve">The growth phases are also important factors in the yield of photosynthetic reactions</w:t>
      </w:r>
      <w:r>
        <w:t xml:space="preserve"> </w:t>
      </w:r>
      <w:r>
        <w:t xml:space="preserve">(Jacob-Lopes et al. 2009; Schuurmans et al. 2017)</w:t>
      </w:r>
      <w:r>
        <w:t xml:space="preserve">. We showed that the exponential decay model parameters differ significantly among phases of growth. During the exponential phase of growth, The PE-rich strains show a much higher</w:t>
      </w:r>
      <w:r>
        <w:t xml:space="preserve"> </w:t>
      </w:r>
      <m:oMath>
        <m:r>
          <m:t>σ</m:t>
        </m:r>
      </m:oMath>
      <w:r>
        <w:rPr>
          <w:vertAlign w:val="subscript"/>
        </w:rPr>
        <w:t xml:space="preserve">PSII</w:t>
      </w:r>
      <w:r>
        <w:t xml:space="preserve">ʹ under low cumulative diel photon dose, and remain higher than the PC-rich strains even as cumulative diel photon dose increases. During pre-stationary phase this response dampens but persists. (XXXMore about sigmaXXX).</w:t>
      </w:r>
    </w:p>
    <w:p>
      <w:pPr>
        <w:pStyle w:val="BodyText"/>
      </w:pPr>
      <w:r>
        <w:t xml:space="preserve">For</w:t>
      </w:r>
      <w:r>
        <w:t xml:space="preserve"> </w:t>
      </w:r>
      <m:oMath>
        <m:r>
          <m:t>σ</m:t>
        </m:r>
      </m:oMath>
      <w:r>
        <w:rPr>
          <w:vertAlign w:val="subscript"/>
        </w:rPr>
        <w:t xml:space="preserve">PSII</w:t>
      </w:r>
      <w:r>
        <w:t xml:space="preserve">ʹ excited through phycobilisome absorbance at 590 nm, strains show consistent positive correlation with phycobilin:chlorophyll ratio.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 Our work demonstrated that PC-rich and PE-rich strains of</w:t>
      </w:r>
      <w:r>
        <w:t xml:space="preserve"> </w:t>
      </w:r>
      <w:r>
        <w:rPr>
          <w:iCs/>
          <w:i/>
        </w:rPr>
        <w:t xml:space="preserve">Synechococcus</w:t>
      </w:r>
      <w:r>
        <w:t xml:space="preserve"> </w:t>
      </w:r>
      <w:r>
        <w:t xml:space="preserve">sp. in exponential growth show significant scatter around this positive relation, likely related to regulatory control of</w:t>
      </w:r>
      <w:r>
        <w:t xml:space="preserve"> </w:t>
      </w:r>
      <m:oMath>
        <m:r>
          <m:t>σ</m:t>
        </m:r>
      </m:oMath>
      <w:r>
        <w:rPr>
          <w:vertAlign w:val="subscript"/>
        </w:rPr>
        <w:t xml:space="preserve">PSII</w:t>
      </w:r>
      <w:r>
        <w:t xml:space="preserve">ʹ, beyond pigment composition. Under pre-stationary phase</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w:t>
      </w:r>
    </w:p>
    <w:p>
      <w:pPr>
        <w:pStyle w:val="BodyText"/>
      </w:pPr>
      <w:r>
        <w:t xml:space="preserve">Responses in relation to photoperiod and irradiance can vary among the species and for pigments in the same species of algae</w:t>
      </w:r>
      <w:r>
        <w:t xml:space="preserve"> </w:t>
      </w:r>
      <w:r>
        <w:t xml:space="preserve">(Zucchi and Necchi Jr 2001)</w:t>
      </w:r>
      <w:r>
        <w:t xml:space="preserve">. Our results showed significant differences in light capture between PC-rich and PE-rich picocyanobacteria. This work indicate that PE-rich strains are stronger light-harvesting competitors, consistent with their typical deeper distribution in the water column, while the PC-rich strains may have lower N-quotients for their light capture system (García-Sánchez et al. 2014; Mackey et al. 2017) (XXXMore about this statementXXX).</w:t>
      </w:r>
    </w:p>
    <w:p>
      <w:pPr>
        <w:pStyle w:val="BodyText"/>
      </w:pPr>
      <w:r>
        <w:t xml:space="preserve">Our results showed the PE-rich strains are stronger light-harvesting competitors, consistent with their typical deeper distribution in the water column, while the PC-rich strains may have lower N-quotients for their light capture system</w:t>
      </w:r>
      <w:r>
        <w:t xml:space="preserve"> </w:t>
      </w:r>
      <w:r>
        <w:t xml:space="preserve">(García-Sánchez et al. 2014; Mackey et al. 2017)</w:t>
      </w:r>
    </w:p>
    <w:p>
      <w:pPr>
        <w:pStyle w:val="BodyText"/>
      </w:pPr>
      <w:r>
        <w:t xml:space="preserve">(Riethman et al. 1988; Ho et al. 2017; Han et al. 2017; Mou et al. 2018)</w:t>
      </w:r>
      <w:r>
        <w:t xml:space="preserve">.</w:t>
      </w:r>
    </w:p>
    <w:p>
      <w:pPr>
        <w:pStyle w:val="BodyText"/>
      </w:pPr>
      <w:r>
        <w:t xml:space="preserve">FIX THIS SYLWIA!</w:t>
      </w:r>
      <w:r>
        <w:t xml:space="preserve"> </w:t>
      </w:r>
      <w:r>
        <w:t xml:space="preserve">JVPSII</w:t>
      </w:r>
      <w:r>
        <w:t xml:space="preserve"> </w:t>
      </w:r>
      <w:r>
        <w:t xml:space="preserve">Oxborough et al. (2012)</w:t>
      </w:r>
      <w:r>
        <w:t xml:space="preserve"> </w:t>
      </w:r>
      <w:r>
        <w:t xml:space="preserve">Ramírez et al. (2024)</w:t>
      </w:r>
      <w:r>
        <w:t xml:space="preserve"> </w:t>
      </w:r>
      <w:r>
        <w:t xml:space="preserve">Lei (2018)</w:t>
      </w:r>
      <w:r>
        <w:t xml:space="preserve"> </w:t>
      </w:r>
      <w:r>
        <w:t xml:space="preserve">Connor (2018)</w:t>
      </w:r>
      <w:r>
        <w:t xml:space="preserve"> </w:t>
      </w:r>
      <w:r>
        <w:t xml:space="preserve">Keys (2018)</w:t>
      </w:r>
      <w:r>
        <w:t xml:space="preserve"> </w:t>
      </w:r>
      <w:r>
        <w:t xml:space="preserve">Giannini (2016)</w:t>
      </w:r>
      <w:r>
        <w:t xml:space="preserve"> </w:t>
      </w:r>
      <w:r>
        <w:t xml:space="preserve">Bhagooli et al. (2021)</w:t>
      </w:r>
    </w:p>
    <w:bookmarkEnd w:id="87"/>
    <w:bookmarkEnd w:id="88"/>
    <w:bookmarkStart w:id="89" w:name="conclusion"/>
    <w:p>
      <w:pPr>
        <w:pStyle w:val="Heading1"/>
      </w:pPr>
      <w:r>
        <w:t xml:space="preserve">Conclusion</w:t>
      </w:r>
    </w:p>
    <w:p>
      <w:pPr>
        <w:pStyle w:val="FirstParagraph"/>
      </w:pPr>
      <w:r>
        <w:t xml:space="preserve">This study focused on the reaction to photic regime controlling photosynthesis and growth rate of PC-rich and PE-rich</w:t>
      </w:r>
      <w:r>
        <w:t xml:space="preserve"> </w:t>
      </w:r>
      <w:r>
        <w:rPr>
          <w:iCs/>
          <w:i/>
        </w:rPr>
        <w:t xml:space="preserve">Synechococcus</w:t>
      </w:r>
      <w:r>
        <w:t xml:space="preserve"> </w:t>
      </w:r>
      <w:r>
        <w:t xml:space="preserve">sp. since understanding the temporal progression of growth phases of different lineages is essential for predicting picocyanobacterial activity and their impact on ecosystem dynamics. We found that picocyanobacteria showed different ecophysiological responses to the prevailing photoperiod and light level, even if the cumulative diel PUR dose remains the same. Both PE-rich and PC-rich strains of</w:t>
      </w:r>
      <w:r>
        <w:t xml:space="preserve"> </w:t>
      </w:r>
      <w:r>
        <w:rPr>
          <w:iCs/>
          <w:i/>
        </w:rPr>
        <w:t xml:space="preserve">Synechococcus</w:t>
      </w:r>
      <w:r>
        <w:t xml:space="preserve"> </w:t>
      </w:r>
      <w:r>
        <w:t xml:space="preserve">sp., grew the fastest under low light and the longest photoperiod. This is particularly important in polar regions, where prolonged daylight hours coupled with nutrient-rich waters may promote growth of the</w:t>
      </w:r>
      <w:r>
        <w:t xml:space="preserve"> </w:t>
      </w:r>
      <w:r>
        <w:rPr>
          <w:iCs/>
          <w:i/>
        </w:rPr>
        <w:t xml:space="preserve">Synechococcus</w:t>
      </w:r>
      <w:r>
        <w:t xml:space="preserve"> </w:t>
      </w:r>
      <w:r>
        <w:t xml:space="preserve">populations.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the highest chlorophyll-specific exponential growth rate of 4.5 d</w:t>
      </w:r>
      <w:r>
        <w:rPr>
          <w:vertAlign w:val="superscript"/>
        </w:rPr>
        <w:t xml:space="preserve">−1</w:t>
      </w:r>
      <w:r>
        <w:t xml:space="preserve"> </w:t>
      </w:r>
      <w:r>
        <w:t xml:space="preserve">(3.7 h doubling time) on record for cyanobacteria. PE-rich strains in the exponential phase of growth also demonstrated high ability to modulate the PUR/PAR ratio that likely allowed this remarkable growth rate. Additionally, we presented for the first time, the consistent patterns of effective absorption cross section for PSII photochemistry excited through phycobilisome absorbance at 590 nm in PC-rich and PE-rich picocyanobacteria. Positive correlation with phycobilin:chlorophyll ratio is likely related to regulatory control of</w:t>
      </w:r>
      <w:r>
        <w:t xml:space="preserve"> </w:t>
      </w:r>
      <m:oMath>
        <m:r>
          <m:t>σ</m:t>
        </m:r>
      </m:oMath>
      <w:r>
        <w:rPr>
          <w:vertAlign w:val="subscript"/>
        </w:rPr>
        <w:t xml:space="preserve">PSII</w:t>
      </w:r>
      <w:r>
        <w:t xml:space="preserve">ʹ, beyond pigment composition. Our results indicates that the PE-rich strains are stronger light-harvesting competitors, while the PC-rich strains may have lower N-quotients for their light capture system. XXXXXYOU DO NOT PRESENT ANY DATA NOR ANALYSES TO SUPPORT THIS POINT; SUPPORT OR DROP IT FROM THE CONCLUSIONS. In this study, we also calibrated the</w:t>
      </w:r>
      <w:r>
        <w:t xml:space="preserve"> </w:t>
      </w:r>
      <w:r>
        <w:rPr>
          <w:iCs/>
          <w:i/>
        </w:rPr>
        <w:t xml:space="preserve">JV</w:t>
      </w:r>
      <w:r>
        <w:rPr>
          <w:vertAlign w:val="subscript"/>
        </w:rPr>
        <w:t xml:space="preserve">PSII</w:t>
      </w:r>
      <w:r>
        <w:t xml:space="preserve"> </w:t>
      </w:r>
      <w:r>
        <w:t xml:space="preserve">estimator to absolute rates of the electron transport using parallel measures of oxygen evolution, captured simultaneously to the FRRf measures, which finally allow to compute and compare growth yield of PC-rich and PE-rich picocyanobacteria vs. cumulative diel PSII electron flux. These differences may help explain differential seasonal prevalences of</w:t>
      </w:r>
      <w:r>
        <w:t xml:space="preserve"> </w:t>
      </w:r>
      <w:r>
        <w:rPr>
          <w:iCs/>
          <w:i/>
        </w:rPr>
        <w:t xml:space="preserve">Synechococcus</w:t>
      </w:r>
      <w:r>
        <w:t xml:space="preserve"> </w:t>
      </w:r>
      <w:r>
        <w:t xml:space="preserve">sp., in terms of differential costs of exploitation of different photic regimes.</w:t>
      </w:r>
    </w:p>
    <w:p>
      <w:pPr>
        <w:pStyle w:val="BodyText"/>
      </w:pPr>
      <w:r>
        <w:t xml:space="preserve">Differences in growth and light capture between PC-rich and PE-rich</w:t>
      </w:r>
      <w:r>
        <w:t xml:space="preserve"> </w:t>
      </w:r>
      <w:r>
        <w:rPr>
          <w:iCs/>
          <w:i/>
        </w:rPr>
        <w:t xml:space="preserve">Synechococcus</w:t>
      </w:r>
      <w:r>
        <w:t xml:space="preserve"> </w:t>
      </w:r>
      <w:r>
        <w:t xml:space="preserve">sp. could influence the fluctuation of picocyanobacterial biomass and the composition of its community lineage over space and time in existing and potential aquatic environments relating to varying metabolic costs between different physiological strategies for growth.</w:t>
      </w:r>
    </w:p>
    <w:p>
      <w:pPr>
        <w:pStyle w:val="BodyText"/>
      </w:pPr>
      <w:r>
        <w:t xml:space="preserve">Our findings show that</w:t>
      </w:r>
      <w:r>
        <w:t xml:space="preserve"> </w:t>
      </w:r>
      <w:r>
        <w:rPr>
          <w:iCs/>
          <w:i/>
        </w:rPr>
        <w:t xml:space="preserve">Synechococcus</w:t>
      </w:r>
      <w:r>
        <w:t xml:space="preserve"> </w:t>
      </w:r>
      <w:r>
        <w:t xml:space="preserve">sp., can thrive under continuous irradiation, but suffer growth inhibition at peak PAR &gt; 600 µmol photons m</w:t>
      </w:r>
      <w:r>
        <w:rPr>
          <w:vertAlign w:val="superscript"/>
        </w:rPr>
        <w:t xml:space="preserve">−2</w:t>
      </w:r>
      <w:r>
        <w:t xml:space="preserve">s</w:t>
      </w:r>
      <w:r>
        <w:rPr>
          <w:vertAlign w:val="superscript"/>
        </w:rPr>
        <w:t xml:space="preserve">−1</w:t>
      </w:r>
      <w:r>
        <w:t xml:space="preserve">.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w:t>
      </w:r>
    </w:p>
    <w:bookmarkEnd w:id="89"/>
    <w:bookmarkStart w:id="90" w:name="acknowledgements"/>
    <w:p>
      <w:pPr>
        <w:pStyle w:val="Heading1"/>
      </w:pPr>
      <w:r>
        <w:t xml:space="preserve">Acknowledgements</w:t>
      </w:r>
    </w:p>
    <w:p>
      <w:pPr>
        <w:pStyle w:val="FirstParagraph"/>
      </w:pPr>
      <w:r>
        <w:t xml:space="preserve">We thank Miranda Corkum who maintained cultures and trained personnel in culture handling, Mireille Savoie, Laurel Genge, and Carlie Barnhill (Mount Allison student) who assisted with R code.</w:t>
      </w:r>
    </w:p>
    <w:bookmarkEnd w:id="90"/>
    <w:bookmarkStart w:id="91"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91"/>
    <w:bookmarkStart w:id="96"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92">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93">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94">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95">
        <w:r>
          <w:rPr>
            <w:rStyle w:val="Hyperlink"/>
          </w:rPr>
          <w:t xml:space="preserve">https://docs.google.com/spreadsheets/d/1cfyxO1bFSeEMlMnx1vAyuskk3Un_bqkE9-uUSc-jwhE/edit#gid=0</w:t>
        </w:r>
      </w:hyperlink>
    </w:p>
    <w:bookmarkEnd w:id="96"/>
    <w:bookmarkStart w:id="260" w:name="references"/>
    <w:p>
      <w:pPr>
        <w:pStyle w:val="Heading1"/>
      </w:pPr>
      <w:r>
        <w:t xml:space="preserve">References</w:t>
      </w:r>
    </w:p>
    <w:bookmarkStart w:id="259" w:name="refs"/>
    <w:bookmarkStart w:id="98"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7">
        <w:r>
          <w:rPr>
            <w:rStyle w:val="Hyperlink"/>
          </w:rPr>
          <w:t xml:space="preserve">10.1111/1462-2920.16384</w:t>
        </w:r>
      </w:hyperlink>
    </w:p>
    <w:bookmarkEnd w:id="98"/>
    <w:bookmarkStart w:id="100"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9">
        <w:r>
          <w:rPr>
            <w:rStyle w:val="Hyperlink"/>
          </w:rPr>
          <w:t xml:space="preserve">10.1038/284481a0</w:t>
        </w:r>
      </w:hyperlink>
    </w:p>
    <w:bookmarkEnd w:id="100"/>
    <w:bookmarkStart w:id="102"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101">
        <w:r>
          <w:rPr>
            <w:rStyle w:val="Hyperlink"/>
          </w:rPr>
          <w:t xml:space="preserve">10.1146/annurev-marine-010213-135103</w:t>
        </w:r>
      </w:hyperlink>
    </w:p>
    <w:bookmarkEnd w:id="102"/>
    <w:bookmarkStart w:id="104" w:name="X78a690ddcffed75740a96a2fca4b8e9a29d3a28"/>
    <w:p>
      <w:pPr>
        <w:pStyle w:val="Bibliography"/>
      </w:pPr>
      <w:r>
        <w:t xml:space="preserve">Beale, S. I. 1994.</w:t>
      </w:r>
      <w:r>
        <w:t xml:space="preserve"> </w:t>
      </w:r>
      <w:hyperlink r:id="rId103">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104"/>
    <w:bookmarkStart w:id="106"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105">
        <w:r>
          <w:rPr>
            <w:rStyle w:val="Hyperlink"/>
          </w:rPr>
          <w:t xml:space="preserve">10.1038/nature05317</w:t>
        </w:r>
      </w:hyperlink>
    </w:p>
    <w:bookmarkEnd w:id="106"/>
    <w:bookmarkStart w:id="108"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7">
        <w:r>
          <w:rPr>
            <w:rStyle w:val="Hyperlink"/>
          </w:rPr>
          <w:t xml:space="preserve">10.1083/jcb.58.2.419</w:t>
        </w:r>
      </w:hyperlink>
    </w:p>
    <w:bookmarkEnd w:id="108"/>
    <w:bookmarkStart w:id="110" w:name="X37e47185737e939939eb884d77873f2a2150d98"/>
    <w:p>
      <w:pPr>
        <w:pStyle w:val="Bibliography"/>
      </w:pPr>
      <w:r>
        <w:t xml:space="preserve">Bhagooli, R., S. Mattan-Moorgawa, D. Kaullysing, and others. 2021. Chlorophyll fluorescence –</w:t>
      </w:r>
      <w:r>
        <w:t xml:space="preserve"> </w:t>
      </w:r>
      <w:r>
        <w:t xml:space="preserve">A</w:t>
      </w:r>
      <w:r>
        <w:t xml:space="preserve"> </w:t>
      </w:r>
      <w:r>
        <w:t xml:space="preserve">tool to assess photosynthetic performance and stress photophysiology in symbiotic marine invertebrates and seaplants. Marine Pollution Bulletin</w:t>
      </w:r>
      <w:r>
        <w:t xml:space="preserve"> </w:t>
      </w:r>
      <w:r>
        <w:rPr>
          <w:bCs/>
          <w:b/>
        </w:rPr>
        <w:t xml:space="preserve">165</w:t>
      </w:r>
      <w:r>
        <w:t xml:space="preserve">: 112059. doi:</w:t>
      </w:r>
      <w:hyperlink r:id="rId109">
        <w:r>
          <w:rPr>
            <w:rStyle w:val="Hyperlink"/>
          </w:rPr>
          <w:t xml:space="preserve">10.1016/j.marpolbul.2021.112059</w:t>
        </w:r>
      </w:hyperlink>
    </w:p>
    <w:bookmarkEnd w:id="110"/>
    <w:bookmarkStart w:id="111"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11"/>
    <w:bookmarkStart w:id="113"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12">
        <w:r>
          <w:rPr>
            <w:rStyle w:val="Hyperlink"/>
          </w:rPr>
          <w:t xml:space="preserve">10.3389/fmars.2019.00319</w:t>
        </w:r>
      </w:hyperlink>
    </w:p>
    <w:bookmarkEnd w:id="113"/>
    <w:bookmarkStart w:id="114"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14"/>
    <w:bookmarkStart w:id="116" w:name="X30cea3580c16855f9d89aaa53f7c7533fb5925c"/>
    <w:p>
      <w:pPr>
        <w:pStyle w:val="Bibliography"/>
      </w:pPr>
      <w:r>
        <w:t xml:space="preserve">Chakdar, H., and S. Pabbi. 2016.</w:t>
      </w:r>
      <w:r>
        <w:t xml:space="preserve"> </w:t>
      </w:r>
      <w:hyperlink r:id="rId115">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16"/>
    <w:bookmarkStart w:id="118"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17">
        <w:r>
          <w:rPr>
            <w:rStyle w:val="Hyperlink"/>
          </w:rPr>
          <w:t xml:space="preserve">10.1111/nph.17903</w:t>
        </w:r>
      </w:hyperlink>
    </w:p>
    <w:bookmarkEnd w:id="118"/>
    <w:bookmarkStart w:id="120"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9">
        <w:r>
          <w:rPr>
            <w:rStyle w:val="Hyperlink"/>
          </w:rPr>
          <w:t xml:space="preserve">10.4319/lo.1999.44.1.0052</w:t>
        </w:r>
      </w:hyperlink>
    </w:p>
    <w:bookmarkEnd w:id="120"/>
    <w:bookmarkStart w:id="121" w:name="ref-connorInvestigatingUseFast2018"/>
    <w:p>
      <w:pPr>
        <w:pStyle w:val="Bibliography"/>
      </w:pPr>
      <w:r>
        <w:t xml:space="preserve">Connor, D. 2018. Investigating the use of fast repetition rate fluorometry in understanding algal physiology in optically complex oceans.</w:t>
      </w:r>
    </w:p>
    <w:bookmarkEnd w:id="121"/>
    <w:bookmarkStart w:id="123"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22">
        <w:r>
          <w:rPr>
            <w:rStyle w:val="Hyperlink"/>
          </w:rPr>
          <w:t xml:space="preserve">10.1186/gb-2008-9-5-r90</w:t>
        </w:r>
      </w:hyperlink>
    </w:p>
    <w:bookmarkEnd w:id="123"/>
    <w:bookmarkStart w:id="124"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24"/>
    <w:bookmarkStart w:id="126"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25">
        <w:r>
          <w:rPr>
            <w:rStyle w:val="Hyperlink"/>
          </w:rPr>
          <w:t xml:space="preserve">10.1093/plankt/6.1.67</w:t>
        </w:r>
      </w:hyperlink>
    </w:p>
    <w:bookmarkEnd w:id="126"/>
    <w:bookmarkStart w:id="127"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27"/>
    <w:bookmarkStart w:id="129"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8">
        <w:r>
          <w:rPr>
            <w:rStyle w:val="Hyperlink"/>
          </w:rPr>
          <w:t xml:space="preserve">10.1126/science.281.5374.237</w:t>
        </w:r>
      </w:hyperlink>
    </w:p>
    <w:bookmarkEnd w:id="129"/>
    <w:bookmarkStart w:id="131"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30">
        <w:r>
          <w:rPr>
            <w:rStyle w:val="Hyperlink"/>
          </w:rPr>
          <w:t xml:space="preserve">10.1017/S0025315406014287</w:t>
        </w:r>
      </w:hyperlink>
    </w:p>
    <w:bookmarkEnd w:id="131"/>
    <w:bookmarkStart w:id="133"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32">
        <w:r>
          <w:rPr>
            <w:rStyle w:val="Hyperlink"/>
          </w:rPr>
          <w:t xml:space="preserve">10.1073/pnas.1307701110</w:t>
        </w:r>
      </w:hyperlink>
    </w:p>
    <w:bookmarkEnd w:id="133"/>
    <w:bookmarkStart w:id="135" w:name="X721881729c6a4839d39b7785b8f5f020a90612c"/>
    <w:p>
      <w:pPr>
        <w:pStyle w:val="Bibliography"/>
      </w:pPr>
      <w:r>
        <w:t xml:space="preserve">García-Sánchez, M., N. Korbee, I. M. Pérez-Ruzafa, C. Marcos, F. L. Figueroa, and Á. Pérez-Ruzafa. 2014. Living in a coastal lagoon environment:</w:t>
      </w:r>
      <w:r>
        <w:t xml:space="preserve"> </w:t>
      </w:r>
      <w:r>
        <w:t xml:space="preserve">Photosynthetic</w:t>
      </w:r>
      <w:r>
        <w:t xml:space="preserve"> </w:t>
      </w:r>
      <w:r>
        <w:t xml:space="preserve">and biochemical mechanisms of key marine macroalgae. Marine Environmental Research</w:t>
      </w:r>
      <w:r>
        <w:t xml:space="preserve"> </w:t>
      </w:r>
      <w:r>
        <w:rPr>
          <w:bCs/>
          <w:b/>
        </w:rPr>
        <w:t xml:space="preserve">101</w:t>
      </w:r>
      <w:r>
        <w:t xml:space="preserve">: 8–21. doi:</w:t>
      </w:r>
      <w:hyperlink r:id="rId134">
        <w:r>
          <w:rPr>
            <w:rStyle w:val="Hyperlink"/>
          </w:rPr>
          <w:t xml:space="preserve">10.1016/j.marenvres.2014.07.012</w:t>
        </w:r>
      </w:hyperlink>
    </w:p>
    <w:bookmarkEnd w:id="135"/>
    <w:bookmarkStart w:id="137" w:name="Xb7bf1f0f86588682b7b5eb14172209be3913c80"/>
    <w:p>
      <w:pPr>
        <w:pStyle w:val="Bibliography"/>
      </w:pPr>
      <w:r>
        <w:t xml:space="preserve">Giannini, M. F. C. 2016.</w:t>
      </w:r>
      <w:r>
        <w:t xml:space="preserve"> </w:t>
      </w:r>
      <w:hyperlink r:id="rId136">
        <w:r>
          <w:rPr>
            <w:rStyle w:val="Hyperlink"/>
          </w:rPr>
          <w:t xml:space="preserve">The influence of phytoplankton pigments composition and dominant cell size on fluorescence-derived photophysiological parameters and implications for primary production rates</w:t>
        </w:r>
      </w:hyperlink>
      <w:r>
        <w:t xml:space="preserve">. Text. Universidade de S</w:t>
      </w:r>
      <w:r>
        <w:t xml:space="preserve">ã</w:t>
      </w:r>
      <w:r>
        <w:t xml:space="preserve">o Paulo.</w:t>
      </w:r>
    </w:p>
    <w:bookmarkEnd w:id="137"/>
    <w:bookmarkStart w:id="139"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38">
        <w:r>
          <w:rPr>
            <w:rStyle w:val="Hyperlink"/>
          </w:rPr>
          <w:t xml:space="preserve">10.3354/meps052099</w:t>
        </w:r>
      </w:hyperlink>
    </w:p>
    <w:bookmarkEnd w:id="139"/>
    <w:bookmarkStart w:id="141"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40">
        <w:r>
          <w:rPr>
            <w:rStyle w:val="Hyperlink"/>
          </w:rPr>
          <w:t xml:space="preserve">10.1073/pnas.1717069115</w:t>
        </w:r>
      </w:hyperlink>
    </w:p>
    <w:bookmarkEnd w:id="141"/>
    <w:bookmarkStart w:id="143" w:name="Xd7d6b0bcb60aabcb149933a8690177800745aff"/>
    <w:p>
      <w:pPr>
        <w:pStyle w:val="Bibliography"/>
      </w:pPr>
      <w:r>
        <w:t xml:space="preserve">Guillard, R. R. L. 1975.</w:t>
      </w:r>
      <w:r>
        <w:t xml:space="preserve"> </w:t>
      </w:r>
      <w:hyperlink r:id="rId142">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43"/>
    <w:bookmarkStart w:id="145" w:name="Xae3cbfbf017c87b7e06d8229621cb59d1d86726"/>
    <w:p>
      <w:pPr>
        <w:pStyle w:val="Bibliography"/>
      </w:pPr>
      <w:r>
        <w:t xml:space="preserve">Han, P., S. Shen, R. Guo, S. Yao, Y. Sun, Z. Tan, and S. Jia. 2017. The regulation of photosynthetic pigments in terrestrial</w:t>
      </w:r>
      <w:r>
        <w:t xml:space="preserve"> </w:t>
      </w:r>
      <w:r>
        <w:rPr>
          <w:iCs/>
          <w:i/>
        </w:rPr>
        <w:t xml:space="preserve">Nostoc</w:t>
      </w:r>
      <w:r>
        <w:t xml:space="preserve"> </w:t>
      </w:r>
      <w:r>
        <w:rPr>
          <w:iCs/>
          <w:i/>
        </w:rPr>
        <w:t xml:space="preserve">Flagelliforme</w:t>
      </w:r>
      <w:r>
        <w:t xml:space="preserve"> </w:t>
      </w:r>
      <w:r>
        <w:t xml:space="preserve">in response to different light colors. Algal Research</w:t>
      </w:r>
      <w:r>
        <w:t xml:space="preserve"> </w:t>
      </w:r>
      <w:r>
        <w:rPr>
          <w:bCs/>
          <w:b/>
        </w:rPr>
        <w:t xml:space="preserve">25</w:t>
      </w:r>
      <w:r>
        <w:t xml:space="preserve">: 128–135. doi:</w:t>
      </w:r>
      <w:hyperlink r:id="rId144">
        <w:r>
          <w:rPr>
            <w:rStyle w:val="Hyperlink"/>
          </w:rPr>
          <w:t xml:space="preserve">10.1016/j.algal.2017.04.009</w:t>
        </w:r>
      </w:hyperlink>
    </w:p>
    <w:bookmarkEnd w:id="145"/>
    <w:bookmarkStart w:id="146"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46"/>
    <w:bookmarkStart w:id="147"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47"/>
    <w:bookmarkStart w:id="149"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48">
        <w:r>
          <w:rPr>
            <w:rStyle w:val="Hyperlink"/>
          </w:rPr>
          <w:t xml:space="preserve">10.1038/ismej.2008.118</w:t>
        </w:r>
      </w:hyperlink>
    </w:p>
    <w:bookmarkEnd w:id="149"/>
    <w:bookmarkStart w:id="151"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50">
        <w:r>
          <w:rPr>
            <w:rStyle w:val="Hyperlink"/>
          </w:rPr>
          <w:t xml:space="preserve">10.5194/bg-8-311-2011</w:t>
        </w:r>
      </w:hyperlink>
    </w:p>
    <w:bookmarkEnd w:id="151"/>
    <w:bookmarkStart w:id="153" w:name="ref-hoLightRegulationPigment2017"/>
    <w:p>
      <w:pPr>
        <w:pStyle w:val="Bibliography"/>
      </w:pPr>
      <w:r>
        <w:t xml:space="preserve">Ho, M.-Y., N. T. Soulier, D. P. Canniffe, G. Shen, and D. A. Bryant. 2017. Light regulation of pigment and photosystem biosynthesis in cyanobacteria. Current Opinion in Plant Biology</w:t>
      </w:r>
      <w:r>
        <w:t xml:space="preserve"> </w:t>
      </w:r>
      <w:r>
        <w:rPr>
          <w:bCs/>
          <w:b/>
        </w:rPr>
        <w:t xml:space="preserve">37</w:t>
      </w:r>
      <w:r>
        <w:t xml:space="preserve">: 24–33. doi:</w:t>
      </w:r>
      <w:hyperlink r:id="rId152">
        <w:r>
          <w:rPr>
            <w:rStyle w:val="Hyperlink"/>
          </w:rPr>
          <w:t xml:space="preserve">10.1016/j.pbi.2017.03.006</w:t>
        </w:r>
      </w:hyperlink>
    </w:p>
    <w:bookmarkEnd w:id="153"/>
    <w:bookmarkStart w:id="155"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54">
        <w:r>
          <w:rPr>
            <w:rStyle w:val="Hyperlink"/>
          </w:rPr>
          <w:t xml:space="preserve">10.1038/s41559-020-01330-x</w:t>
        </w:r>
      </w:hyperlink>
    </w:p>
    <w:bookmarkEnd w:id="155"/>
    <w:bookmarkStart w:id="157"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56">
        <w:r>
          <w:rPr>
            <w:rStyle w:val="Hyperlink"/>
          </w:rPr>
          <w:t xml:space="preserve">10.1086/338511</w:t>
        </w:r>
      </w:hyperlink>
    </w:p>
    <w:bookmarkEnd w:id="157"/>
    <w:bookmarkStart w:id="159"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58">
        <w:r>
          <w:rPr>
            <w:rStyle w:val="Hyperlink"/>
          </w:rPr>
          <w:t xml:space="preserve">10.1038/nclimate3147</w:t>
        </w:r>
      </w:hyperlink>
    </w:p>
    <w:bookmarkEnd w:id="159"/>
    <w:bookmarkStart w:id="161"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60">
        <w:r>
          <w:rPr>
            <w:rStyle w:val="Hyperlink"/>
          </w:rPr>
          <w:t xml:space="preserve">10.1016/j.cep.2008.04.007</w:t>
        </w:r>
      </w:hyperlink>
    </w:p>
    <w:bookmarkEnd w:id="161"/>
    <w:bookmarkStart w:id="163"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62">
        <w:r>
          <w:rPr>
            <w:rStyle w:val="Hyperlink"/>
          </w:rPr>
          <w:t xml:space="preserve">10.1016/j.jphotobiol.2005.10.002</w:t>
        </w:r>
      </w:hyperlink>
    </w:p>
    <w:bookmarkEnd w:id="163"/>
    <w:bookmarkStart w:id="164" w:name="ref-keysEffectFutureCO22018"/>
    <w:p>
      <w:pPr>
        <w:pStyle w:val="Bibliography"/>
      </w:pPr>
      <w:r>
        <w:t xml:space="preserve">Keys, M. 2018. Effect of future</w:t>
      </w:r>
      <w:r>
        <w:t xml:space="preserve"> </w:t>
      </w:r>
      <w:r>
        <w:t xml:space="preserve">CO2</w:t>
      </w:r>
      <w:r>
        <w:t xml:space="preserve"> </w:t>
      </w:r>
      <w:r>
        <w:t xml:space="preserve">and temperature regimes on phytoplankton community composition, biomass and photosynthetic rates in the western</w:t>
      </w:r>
      <w:r>
        <w:t xml:space="preserve"> </w:t>
      </w:r>
      <w:r>
        <w:t xml:space="preserve">English Channel</w:t>
      </w:r>
      <w:r>
        <w:t xml:space="preserve">. PhD thesis. University of Essex.</w:t>
      </w:r>
    </w:p>
    <w:bookmarkEnd w:id="164"/>
    <w:bookmarkStart w:id="165"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65"/>
    <w:bookmarkStart w:id="167"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66">
        <w:r>
          <w:rPr>
            <w:rStyle w:val="Hyperlink"/>
          </w:rPr>
          <w:t xml:space="preserve">10.1016/j.biortech.2020.123700</w:t>
        </w:r>
      </w:hyperlink>
    </w:p>
    <w:bookmarkEnd w:id="167"/>
    <w:bookmarkStart w:id="169"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68">
        <w:r>
          <w:rPr>
            <w:rStyle w:val="Hyperlink"/>
          </w:rPr>
          <w:t xml:space="preserve">10.1016/S0005-2728(98)00135-2</w:t>
        </w:r>
      </w:hyperlink>
    </w:p>
    <w:bookmarkEnd w:id="169"/>
    <w:bookmarkStart w:id="171" w:name="ref-krishnanPicochlorumCeleriModel2021"/>
    <w:p>
      <w:pPr>
        <w:pStyle w:val="Bibliography"/>
      </w:pPr>
      <w:r>
        <w:t xml:space="preserve">Krishnan, A., M. Likhogrud, M. Cano, and others. 2021. Picochlorum celeri as a model system for robust outdoor algal growth in seawater. Scientific Reports</w:t>
      </w:r>
      <w:r>
        <w:t xml:space="preserve"> </w:t>
      </w:r>
      <w:r>
        <w:rPr>
          <w:bCs/>
          <w:b/>
        </w:rPr>
        <w:t xml:space="preserve">11</w:t>
      </w:r>
      <w:r>
        <w:t xml:space="preserve">: 11649. doi:</w:t>
      </w:r>
      <w:hyperlink r:id="rId170">
        <w:r>
          <w:rPr>
            <w:rStyle w:val="Hyperlink"/>
          </w:rPr>
          <w:t xml:space="preserve">10.1038/s41598-021-91106-5</w:t>
        </w:r>
      </w:hyperlink>
    </w:p>
    <w:bookmarkEnd w:id="171"/>
    <w:bookmarkStart w:id="173" w:name="X0484b3dfebfaa14160c541e1fe2290095bae149"/>
    <w:p>
      <w:pPr>
        <w:pStyle w:val="Bibliography"/>
      </w:pPr>
      <w:r>
        <w:t xml:space="preserve">LaRoche, J., and B. M. Robicheau. 2022.</w:t>
      </w:r>
      <w:r>
        <w:t xml:space="preserve"> </w:t>
      </w:r>
      <w:hyperlink r:id="rId172">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73"/>
    <w:bookmarkStart w:id="174" w:name="Xda8c9cc855aa22259d080d8f2a7b1b041e4b0a3"/>
    <w:p>
      <w:pPr>
        <w:pStyle w:val="Bibliography"/>
      </w:pPr>
      <w:r>
        <w:t xml:space="preserve">Lei, Y. 2018. Variation in photosynthetic electron requirements for carbon fixation by</w:t>
      </w:r>
      <w:r>
        <w:t xml:space="preserve"> </w:t>
      </w:r>
      <w:r>
        <w:t xml:space="preserve">Dunaliella</w:t>
      </w:r>
      <w:r>
        <w:t xml:space="preserve"> </w:t>
      </w:r>
      <w:r>
        <w:t xml:space="preserve">tertiolecta during transient phases with different phosphorus availability. Master’s thesis.</w:t>
      </w:r>
    </w:p>
    <w:bookmarkEnd w:id="174"/>
    <w:bookmarkStart w:id="176"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75">
        <w:r>
          <w:rPr>
            <w:rStyle w:val="Hyperlink"/>
          </w:rPr>
          <w:t xml:space="preserve">10.1093/plankt/fbv008</w:t>
        </w:r>
      </w:hyperlink>
    </w:p>
    <w:bookmarkEnd w:id="176"/>
    <w:bookmarkStart w:id="178" w:name="X1fa63fd480d0916fa60113cb089a7102c347762"/>
    <w:p>
      <w:pPr>
        <w:pStyle w:val="Bibliography"/>
      </w:pPr>
      <w:r>
        <w:t xml:space="preserve">Li, W. K. W. 1995.</w:t>
      </w:r>
      <w:r>
        <w:t xml:space="preserve"> </w:t>
      </w:r>
      <w:hyperlink r:id="rId177">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78"/>
    <w:bookmarkStart w:id="179" w:name="ref-liggesSignalSignalProcessing2024"/>
    <w:p>
      <w:pPr>
        <w:pStyle w:val="Bibliography"/>
      </w:pPr>
      <w:r>
        <w:t xml:space="preserve">Ligges, U., T. Short, P. Kienzle, and others. 2024. Signal:</w:t>
      </w:r>
      <w:r>
        <w:t xml:space="preserve"> </w:t>
      </w:r>
      <w:r>
        <w:t xml:space="preserve">Signal Processing</w:t>
      </w:r>
      <w:r>
        <w:t xml:space="preserve">.</w:t>
      </w:r>
    </w:p>
    <w:bookmarkEnd w:id="179"/>
    <w:bookmarkStart w:id="181"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80">
        <w:r>
          <w:rPr>
            <w:rStyle w:val="Hyperlink"/>
          </w:rPr>
          <w:t xml:space="preserve">10.1038/s41598-022-07009-6</w:t>
        </w:r>
      </w:hyperlink>
    </w:p>
    <w:bookmarkEnd w:id="181"/>
    <w:bookmarkStart w:id="183" w:name="Xacf49c67419f972fbb2ac3674a5f9f184c92fd7"/>
    <w:p>
      <w:pPr>
        <w:pStyle w:val="Bibliography"/>
      </w:pPr>
      <w:r>
        <w:t xml:space="preserve">Mackey, K. R. M., A. F. Post, M. R. McIlvin, and M. A. Saito. 2017. Physiological and proteomic characterization of light adaptations in marine</w:t>
      </w:r>
      <w:r>
        <w:t xml:space="preserve"> </w:t>
      </w:r>
      <w:r>
        <w:t xml:space="preserve">Synechococcus</w:t>
      </w:r>
      <w:r>
        <w:t xml:space="preserve">. Environmental Microbiology</w:t>
      </w:r>
      <w:r>
        <w:t xml:space="preserve"> </w:t>
      </w:r>
      <w:r>
        <w:rPr>
          <w:bCs/>
          <w:b/>
        </w:rPr>
        <w:t xml:space="preserve">19</w:t>
      </w:r>
      <w:r>
        <w:t xml:space="preserve">: 2348–2365. doi:</w:t>
      </w:r>
      <w:hyperlink r:id="rId182">
        <w:r>
          <w:rPr>
            <w:rStyle w:val="Hyperlink"/>
          </w:rPr>
          <w:t xml:space="preserve">10.1111/1462-2920.13744</w:t>
        </w:r>
      </w:hyperlink>
    </w:p>
    <w:bookmarkEnd w:id="183"/>
    <w:bookmarkStart w:id="184"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84"/>
    <w:bookmarkStart w:id="186"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85">
        <w:r>
          <w:rPr>
            <w:rStyle w:val="Hyperlink"/>
          </w:rPr>
          <w:t xml:space="preserve">10.1093/jxb/erx137</w:t>
        </w:r>
      </w:hyperlink>
    </w:p>
    <w:bookmarkEnd w:id="186"/>
    <w:bookmarkStart w:id="188"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87">
        <w:r>
          <w:rPr>
            <w:rStyle w:val="Hyperlink"/>
          </w:rPr>
          <w:t xml:space="preserve">10.1016/0146-6291(78)90623-9</w:t>
        </w:r>
      </w:hyperlink>
    </w:p>
    <w:bookmarkEnd w:id="188"/>
    <w:bookmarkStart w:id="190"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89">
        <w:r>
          <w:rPr>
            <w:rStyle w:val="Hyperlink"/>
          </w:rPr>
          <w:t xml:space="preserve">10.1029/JC093iC09p10749</w:t>
        </w:r>
      </w:hyperlink>
    </w:p>
    <w:bookmarkEnd w:id="190"/>
    <w:bookmarkStart w:id="192" w:name="X406747e6340adfe286743152f9ed96a1d7c2627"/>
    <w:p>
      <w:pPr>
        <w:pStyle w:val="Bibliography"/>
      </w:pPr>
      <w:r>
        <w:t xml:space="preserve">Mou, S., G. Li, H. Li, F. Li, Z. Shao, J. Li, C. Qu, and Y. Zhang. 2018. Differential physiological responses of the coastal cyanobacterium</w:t>
      </w:r>
      <w:r>
        <w:t xml:space="preserve"> </w:t>
      </w:r>
      <w:r>
        <w:t xml:space="preserve">Synechococcus</w:t>
      </w:r>
      <w:r>
        <w:t xml:space="preserve"> </w:t>
      </w:r>
      <w:r>
        <w:t xml:space="preserve">sp.</w:t>
      </w:r>
      <w:r>
        <w:t xml:space="preserve"> </w:t>
      </w:r>
      <w:r>
        <w:t xml:space="preserve">PCC7002</w:t>
      </w:r>
      <w:r>
        <w:t xml:space="preserve"> </w:t>
      </w:r>
      <w:r>
        <w:t xml:space="preserve">to elevated</w:t>
      </w:r>
      <w:r>
        <w:t xml:space="preserve"> </w:t>
      </w:r>
      <w:r>
        <w:t xml:space="preserve">pCO2</w:t>
      </w:r>
      <w:r>
        <w:t xml:space="preserve"> </w:t>
      </w:r>
      <w:r>
        <w:t xml:space="preserve">at lag, exponential, and stationary growth phases. Science China Earth Sciences</w:t>
      </w:r>
      <w:r>
        <w:t xml:space="preserve"> </w:t>
      </w:r>
      <w:r>
        <w:rPr>
          <w:bCs/>
          <w:b/>
        </w:rPr>
        <w:t xml:space="preserve">61</w:t>
      </w:r>
      <w:r>
        <w:t xml:space="preserve">: 1397–1405. doi:</w:t>
      </w:r>
      <w:hyperlink r:id="rId191">
        <w:r>
          <w:rPr>
            <w:rStyle w:val="Hyperlink"/>
          </w:rPr>
          <w:t xml:space="preserve">10.1007/s11430-017-9206-5</w:t>
        </w:r>
      </w:hyperlink>
    </w:p>
    <w:bookmarkEnd w:id="192"/>
    <w:bookmarkStart w:id="194" w:name="ref-ortmannLysogenyLyticViral2002"/>
    <w:p>
      <w:pPr>
        <w:pStyle w:val="Bibliography"/>
      </w:pPr>
      <w:r>
        <w:t xml:space="preserve">Ortmann, A. C., J. E. Lawrence, and C. A. Suttle. 2002.</w:t>
      </w:r>
      <w:r>
        <w:t xml:space="preserve"> </w:t>
      </w:r>
      <w:hyperlink r:id="rId193">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94"/>
    <w:bookmarkStart w:id="196"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95">
        <w:r>
          <w:rPr>
            <w:rStyle w:val="Hyperlink"/>
          </w:rPr>
          <w:t xml:space="preserve">10.1023/A:1005936823310</w:t>
        </w:r>
      </w:hyperlink>
    </w:p>
    <w:bookmarkEnd w:id="196"/>
    <w:bookmarkStart w:id="198"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97">
        <w:r>
          <w:rPr>
            <w:rStyle w:val="Hyperlink"/>
          </w:rPr>
          <w:t xml:space="preserve">10.4319/lom.2012.10.142</w:t>
        </w:r>
      </w:hyperlink>
    </w:p>
    <w:bookmarkEnd w:id="198"/>
    <w:bookmarkStart w:id="199"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99"/>
    <w:bookmarkStart w:id="201"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200">
        <w:r>
          <w:rPr>
            <w:rStyle w:val="Hyperlink"/>
          </w:rPr>
          <w:t xml:space="preserve">10.4319/lo.1991.36.7.1457</w:t>
        </w:r>
      </w:hyperlink>
    </w:p>
    <w:bookmarkEnd w:id="201"/>
    <w:bookmarkStart w:id="202"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202"/>
    <w:bookmarkStart w:id="204" w:name="X588915b23694229e4f0859d2c7ca4fffd88b861"/>
    <w:p>
      <w:pPr>
        <w:pStyle w:val="Bibliography"/>
      </w:pPr>
      <w:r>
        <w:t xml:space="preserve">Ramírez, L., L. J. Pozzo-Pirotta, A. Trebec, and others. 2024. Ocean</w:t>
      </w:r>
      <w:r>
        <w:t xml:space="preserve"> </w:t>
      </w:r>
      <w:r>
        <w:t xml:space="preserve">Alkalinity Enhancement</w:t>
      </w:r>
      <w:r>
        <w:t xml:space="preserve"> </w:t>
      </w:r>
      <w:r>
        <w:t xml:space="preserve">(</w:t>
      </w:r>
      <w:r>
        <w:t xml:space="preserve">OAE</w:t>
      </w:r>
      <w:r>
        <w:t xml:space="preserve">) does not cause cellular stress in a phytoplankton community of the sub-tropical</w:t>
      </w:r>
      <w:r>
        <w:t xml:space="preserve"> </w:t>
      </w:r>
      <w:r>
        <w:t xml:space="preserve">Atlantic Ocean</w:t>
      </w:r>
      <w:r>
        <w:t xml:space="preserve">. EGUsphere 1–34. doi:</w:t>
      </w:r>
      <w:hyperlink r:id="rId203">
        <w:r>
          <w:rPr>
            <w:rStyle w:val="Hyperlink"/>
          </w:rPr>
          <w:t xml:space="preserve">10.5194/egusphere-2024-847</w:t>
        </w:r>
      </w:hyperlink>
    </w:p>
    <w:bookmarkEnd w:id="204"/>
    <w:bookmarkStart w:id="205"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205"/>
    <w:bookmarkStart w:id="207" w:name="X7ac1c1f90fb15f6f8263b8f596c9dd14cc41ec6"/>
    <w:p>
      <w:pPr>
        <w:pStyle w:val="Bibliography"/>
      </w:pPr>
      <w:r>
        <w:t xml:space="preserve">Riethman, H., G. Bullerjahn, K. J. Reddy, and L. A. Sherman. 1988.</w:t>
      </w:r>
      <w:r>
        <w:t xml:space="preserve"> </w:t>
      </w:r>
      <w:hyperlink r:id="rId206">
        <w:r>
          <w:rPr>
            <w:rStyle w:val="Hyperlink"/>
          </w:rPr>
          <w:t xml:space="preserve">Regulation of cyanobacterial pigment-protein composition and organization by environmental factors</w:t>
        </w:r>
      </w:hyperlink>
      <w:r>
        <w:t xml:space="preserve">, p. 229–257.</w:t>
      </w:r>
      <w:r>
        <w:t xml:space="preserve"> </w:t>
      </w:r>
      <w:r>
        <w:rPr>
          <w:iCs/>
          <w:i/>
        </w:rPr>
        <w:t xml:space="preserve">In</w:t>
      </w:r>
      <w:r>
        <w:t xml:space="preserve"> </w:t>
      </w:r>
      <w:r>
        <w:t xml:space="preserve">Govindjee [ed.], Molecular</w:t>
      </w:r>
      <w:r>
        <w:t xml:space="preserve"> </w:t>
      </w:r>
      <w:r>
        <w:t xml:space="preserve">Biology</w:t>
      </w:r>
      <w:r>
        <w:t xml:space="preserve"> </w:t>
      </w:r>
      <w:r>
        <w:t xml:space="preserve">of</w:t>
      </w:r>
      <w:r>
        <w:t xml:space="preserve"> </w:t>
      </w:r>
      <w:r>
        <w:t xml:space="preserve">Photosynthesis</w:t>
      </w:r>
      <w:r>
        <w:t xml:space="preserve">. Springer Netherlands.</w:t>
      </w:r>
    </w:p>
    <w:bookmarkEnd w:id="207"/>
    <w:bookmarkStart w:id="208" w:name="ref-ryanXtsEXtensibleTime2024"/>
    <w:p>
      <w:pPr>
        <w:pStyle w:val="Bibliography"/>
      </w:pPr>
      <w:r>
        <w:t xml:space="preserve">Ryan, J. A., J. M. Ulrich, R. Bennett, and C. Joy. 2024. Xts:</w:t>
      </w:r>
      <w:r>
        <w:t xml:space="preserve"> </w:t>
      </w:r>
      <w:r>
        <w:t xml:space="preserve">eXtensible Time Series</w:t>
      </w:r>
      <w:r>
        <w:t xml:space="preserve">.</w:t>
      </w:r>
    </w:p>
    <w:bookmarkEnd w:id="208"/>
    <w:bookmarkStart w:id="210" w:name="ref-sakamotoNitrateTransportNot1999"/>
    <w:p>
      <w:pPr>
        <w:pStyle w:val="Bibliography"/>
      </w:pPr>
      <w:r>
        <w:t xml:space="preserve">Sakamoto, T., and D. A. Bryant. 1999. Nitrate</w:t>
      </w:r>
      <w:r>
        <w:t xml:space="preserve"> </w:t>
      </w:r>
      <w:r>
        <w:t xml:space="preserve">Transport</w:t>
      </w:r>
      <w:r>
        <w:t xml:space="preserve"> </w:t>
      </w:r>
      <w:r>
        <w:t xml:space="preserve">and</w:t>
      </w:r>
      <w:r>
        <w:t xml:space="preserve"> </w:t>
      </w:r>
      <w:r>
        <w:t xml:space="preserve">Not Photoinhibition Limits Growth</w:t>
      </w:r>
      <w:r>
        <w:t xml:space="preserve"> </w:t>
      </w:r>
      <w:r>
        <w:t xml:space="preserve">of the</w:t>
      </w:r>
      <w:r>
        <w:t xml:space="preserve"> </w:t>
      </w:r>
      <w:r>
        <w:t xml:space="preserve">Freshwater Cyanobacterium Synechococcus Species PCC</w:t>
      </w:r>
      <w:r>
        <w:t xml:space="preserve"> </w:t>
      </w:r>
      <w:r>
        <w:t xml:space="preserve">6301 at</w:t>
      </w:r>
      <w:r>
        <w:t xml:space="preserve"> </w:t>
      </w:r>
      <w:r>
        <w:t xml:space="preserve">Low Temperature1</w:t>
      </w:r>
      <w:r>
        <w:t xml:space="preserve">. Plant Physiology</w:t>
      </w:r>
      <w:r>
        <w:t xml:space="preserve"> </w:t>
      </w:r>
      <w:r>
        <w:rPr>
          <w:bCs/>
          <w:b/>
        </w:rPr>
        <w:t xml:space="preserve">119</w:t>
      </w:r>
      <w:r>
        <w:t xml:space="preserve">: 785–794. doi:</w:t>
      </w:r>
      <w:hyperlink r:id="rId209">
        <w:r>
          <w:rPr>
            <w:rStyle w:val="Hyperlink"/>
          </w:rPr>
          <w:t xml:space="preserve">10.1104/pp.119.2.785</w:t>
        </w:r>
      </w:hyperlink>
    </w:p>
    <w:bookmarkEnd w:id="210"/>
    <w:bookmarkStart w:id="212"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211">
        <w:r>
          <w:rPr>
            <w:rStyle w:val="Hyperlink"/>
          </w:rPr>
          <w:t xml:space="preserve">10.1038/sdata.2017.98</w:t>
        </w:r>
      </w:hyperlink>
    </w:p>
    <w:bookmarkEnd w:id="212"/>
    <w:bookmarkStart w:id="214"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213">
        <w:r>
          <w:rPr>
            <w:rStyle w:val="Hyperlink"/>
          </w:rPr>
          <w:t xml:space="preserve">10.1007/s11120-016-0329-8</w:t>
        </w:r>
      </w:hyperlink>
    </w:p>
    <w:bookmarkEnd w:id="214"/>
    <w:bookmarkStart w:id="215" w:name="ref-serwayModernPhysics2004"/>
    <w:p>
      <w:pPr>
        <w:pStyle w:val="Bibliography"/>
      </w:pPr>
      <w:r>
        <w:t xml:space="preserve">Serway, R. A., C. J. Moses, and C. A. Moyer. 2004. Modern</w:t>
      </w:r>
      <w:r>
        <w:t xml:space="preserve"> </w:t>
      </w:r>
      <w:r>
        <w:t xml:space="preserve">Physics</w:t>
      </w:r>
      <w:r>
        <w:t xml:space="preserve">, Cengage Learning.</w:t>
      </w:r>
    </w:p>
    <w:bookmarkEnd w:id="215"/>
    <w:bookmarkStart w:id="217"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216">
        <w:r>
          <w:rPr>
            <w:rStyle w:val="Hyperlink"/>
          </w:rPr>
          <w:t xml:space="preserve">10.1371/journal.pone.0001341</w:t>
        </w:r>
      </w:hyperlink>
    </w:p>
    <w:bookmarkEnd w:id="217"/>
    <w:bookmarkStart w:id="219"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218">
        <w:r>
          <w:rPr>
            <w:rStyle w:val="Hyperlink"/>
          </w:rPr>
          <w:t xml:space="preserve">10.1073/pnas.2111300118</w:t>
        </w:r>
      </w:hyperlink>
    </w:p>
    <w:bookmarkEnd w:id="219"/>
    <w:bookmarkStart w:id="221"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220">
        <w:r>
          <w:rPr>
            <w:rStyle w:val="Hyperlink"/>
          </w:rPr>
          <w:t xml:space="preserve">10.5194/bg-15-6257-2018</w:t>
        </w:r>
      </w:hyperlink>
    </w:p>
    <w:bookmarkEnd w:id="221"/>
    <w:bookmarkStart w:id="223"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222">
        <w:r>
          <w:rPr>
            <w:rStyle w:val="Hyperlink"/>
          </w:rPr>
          <w:t xml:space="preserve">10.3390/cells9092030</w:t>
        </w:r>
      </w:hyperlink>
    </w:p>
    <w:bookmarkEnd w:id="223"/>
    <w:bookmarkStart w:id="225" w:name="X8a45d0d5b9ae5fd1184b3fea8caee6a5cfef58c"/>
    <w:p>
      <w:pPr>
        <w:pStyle w:val="Bibliography"/>
      </w:pPr>
      <w:r>
        <w:t xml:space="preserve">Śliwińska-Wilczewska, S., J. Maculewicz, A. Barreiro Felpeto, and A. Latała. 2018b. Allelopathic and</w:t>
      </w:r>
      <w:r>
        <w:t xml:space="preserve"> </w:t>
      </w:r>
      <w:r>
        <w:t xml:space="preserve">Bloom-Forming Picocyanobacteria</w:t>
      </w:r>
      <w:r>
        <w:t xml:space="preserve"> </w:t>
      </w:r>
      <w:r>
        <w:t xml:space="preserve">in a</w:t>
      </w:r>
      <w:r>
        <w:t xml:space="preserve"> </w:t>
      </w:r>
      <w:r>
        <w:t xml:space="preserve">Changing World</w:t>
      </w:r>
      <w:r>
        <w:t xml:space="preserve">. Toxins</w:t>
      </w:r>
      <w:r>
        <w:t xml:space="preserve"> </w:t>
      </w:r>
      <w:r>
        <w:rPr>
          <w:bCs/>
          <w:b/>
        </w:rPr>
        <w:t xml:space="preserve">10</w:t>
      </w:r>
      <w:r>
        <w:t xml:space="preserve">: 48. doi:</w:t>
      </w:r>
      <w:hyperlink r:id="rId224">
        <w:r>
          <w:rPr>
            <w:rStyle w:val="Hyperlink"/>
          </w:rPr>
          <w:t xml:space="preserve">10.3390/toxins10010048</w:t>
        </w:r>
      </w:hyperlink>
    </w:p>
    <w:bookmarkEnd w:id="225"/>
    <w:bookmarkStart w:id="227"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226">
        <w:r>
          <w:rPr>
            <w:rStyle w:val="Hyperlink"/>
          </w:rPr>
          <w:t xml:space="preserve">10.1134/S0026261715020150</w:t>
        </w:r>
      </w:hyperlink>
    </w:p>
    <w:bookmarkEnd w:id="227"/>
    <w:bookmarkStart w:id="229"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28">
        <w:r>
          <w:rPr>
            <w:rStyle w:val="Hyperlink"/>
          </w:rPr>
          <w:t xml:space="preserve">DOI: http://dx.doi.org/10.25607/OBP-1791</w:t>
        </w:r>
      </w:hyperlink>
    </w:p>
    <w:bookmarkEnd w:id="229"/>
    <w:bookmarkStart w:id="230"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230"/>
    <w:bookmarkStart w:id="232"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31">
        <w:r>
          <w:rPr>
            <w:rStyle w:val="Hyperlink"/>
          </w:rPr>
          <w:t xml:space="preserve">10.1111/oik.08839</w:t>
        </w:r>
      </w:hyperlink>
    </w:p>
    <w:bookmarkEnd w:id="232"/>
    <w:bookmarkStart w:id="234"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33">
        <w:r>
          <w:rPr>
            <w:rStyle w:val="Hyperlink"/>
          </w:rPr>
          <w:t xml:space="preserve">10.1111/j.1365-2427.2008.02119.x</w:t>
        </w:r>
      </w:hyperlink>
    </w:p>
    <w:bookmarkEnd w:id="234"/>
    <w:bookmarkStart w:id="236" w:name="ref-tortellUserGuideApplication2021"/>
    <w:p>
      <w:pPr>
        <w:pStyle w:val="Bibliography"/>
      </w:pPr>
      <w:r>
        <w:t xml:space="preserve">Tortell, P., D. J. Suggett, and S. W. Group156. 2021.</w:t>
      </w:r>
      <w:r>
        <w:t xml:space="preserve"> </w:t>
      </w:r>
      <w:hyperlink r:id="rId235">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36"/>
    <w:bookmarkStart w:id="238" w:name="Xa9d75f7cb05df7c7e803bc18b9b21a91d334305"/>
    <w:p>
      <w:pPr>
        <w:pStyle w:val="Bibliography"/>
      </w:pPr>
      <w:r>
        <w:t xml:space="preserve">van Alphen, P., H. Abedini Najafabadi, F. Branco dos Santos, and K. J. Hellingwerf. 2018. Increasing the</w:t>
      </w:r>
      <w:r>
        <w:t xml:space="preserve"> </w:t>
      </w:r>
      <w:r>
        <w:t xml:space="preserve">Photoautotrophic Growth Rate</w:t>
      </w:r>
      <w:r>
        <w:t xml:space="preserve"> </w:t>
      </w:r>
      <w:r>
        <w:t xml:space="preserve">of</w:t>
      </w:r>
      <w:r>
        <w:t xml:space="preserve"> </w:t>
      </w:r>
      <w:r>
        <w:t xml:space="preserve">Synechocystis</w:t>
      </w:r>
      <w:r>
        <w:t xml:space="preserve"> </w:t>
      </w:r>
      <w:r>
        <w:t xml:space="preserve">sp.</w:t>
      </w:r>
      <w:r>
        <w:t xml:space="preserve"> </w:t>
      </w:r>
      <w:r>
        <w:t xml:space="preserve">PCC</w:t>
      </w:r>
      <w:r>
        <w:t xml:space="preserve"> </w:t>
      </w:r>
      <w:r>
        <w:t xml:space="preserve">6803 by</w:t>
      </w:r>
      <w:r>
        <w:t xml:space="preserve"> </w:t>
      </w:r>
      <w:r>
        <w:t xml:space="preserve">Identifying</w:t>
      </w:r>
      <w:r>
        <w:t xml:space="preserve"> </w:t>
      </w:r>
      <w:r>
        <w:t xml:space="preserve">the</w:t>
      </w:r>
      <w:r>
        <w:t xml:space="preserve"> </w:t>
      </w:r>
      <w:r>
        <w:t xml:space="preserve">Limitations</w:t>
      </w:r>
      <w:r>
        <w:t xml:space="preserve"> </w:t>
      </w:r>
      <w:r>
        <w:t xml:space="preserve">of</w:t>
      </w:r>
      <w:r>
        <w:t xml:space="preserve"> </w:t>
      </w:r>
      <w:r>
        <w:t xml:space="preserve">Its Cultivation</w:t>
      </w:r>
      <w:r>
        <w:t xml:space="preserve">. Biotechnology Journal</w:t>
      </w:r>
      <w:r>
        <w:t xml:space="preserve"> </w:t>
      </w:r>
      <w:r>
        <w:rPr>
          <w:bCs/>
          <w:b/>
        </w:rPr>
        <w:t xml:space="preserve">13</w:t>
      </w:r>
      <w:r>
        <w:t xml:space="preserve">: 1700764. doi:</w:t>
      </w:r>
      <w:hyperlink r:id="rId237">
        <w:r>
          <w:rPr>
            <w:rStyle w:val="Hyperlink"/>
          </w:rPr>
          <w:t xml:space="preserve">10.1002/biot.201700764</w:t>
        </w:r>
      </w:hyperlink>
    </w:p>
    <w:bookmarkEnd w:id="238"/>
    <w:bookmarkStart w:id="239"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39"/>
    <w:bookmarkStart w:id="241"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240">
        <w:r>
          <w:rPr>
            <w:rStyle w:val="Hyperlink"/>
          </w:rPr>
          <w:t xml:space="preserve">10.1029/1999JC000308</w:t>
        </w:r>
      </w:hyperlink>
    </w:p>
    <w:bookmarkEnd w:id="241"/>
    <w:bookmarkStart w:id="243" w:name="ref-wickhamDataAnalysis2016"/>
    <w:p>
      <w:pPr>
        <w:pStyle w:val="Bibliography"/>
      </w:pPr>
      <w:r>
        <w:t xml:space="preserve">Wickham, H. 2016.</w:t>
      </w:r>
      <w:r>
        <w:t xml:space="preserve"> </w:t>
      </w:r>
      <w:hyperlink r:id="rId242">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43"/>
    <w:bookmarkStart w:id="245"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244">
        <w:r>
          <w:rPr>
            <w:rStyle w:val="Hyperlink"/>
          </w:rPr>
          <w:t xml:space="preserve">10.1002/cyto.a.24508</w:t>
        </w:r>
      </w:hyperlink>
    </w:p>
    <w:bookmarkEnd w:id="245"/>
    <w:bookmarkStart w:id="246" w:name="ref-woodMgcvMixedGAM2023"/>
    <w:p>
      <w:pPr>
        <w:pStyle w:val="Bibliography"/>
      </w:pPr>
      <w:r>
        <w:t xml:space="preserve">Wood, S. 2023. Mgcv:</w:t>
      </w:r>
      <w:r>
        <w:t xml:space="preserve"> </w:t>
      </w:r>
      <w:r>
        <w:t xml:space="preserve">Mixed GAM Computation Vehicle</w:t>
      </w:r>
      <w:r>
        <w:t xml:space="preserve"> </w:t>
      </w:r>
      <w:r>
        <w:t xml:space="preserve">with</w:t>
      </w:r>
      <w:r>
        <w:t xml:space="preserve"> </w:t>
      </w:r>
      <w:r>
        <w:t xml:space="preserve">Automatic Smoothness Estimation</w:t>
      </w:r>
      <w:r>
        <w:t xml:space="preserve">.</w:t>
      </w:r>
    </w:p>
    <w:bookmarkEnd w:id="246"/>
    <w:bookmarkStart w:id="248" w:name="ref-woodGeneralizedAdditiveModels2017"/>
    <w:p>
      <w:pPr>
        <w:pStyle w:val="Bibliography"/>
      </w:pPr>
      <w:r>
        <w:t xml:space="preserve">Wood, S. N. 2017.</w:t>
      </w:r>
      <w:r>
        <w:t xml:space="preserve"> </w:t>
      </w:r>
      <w:hyperlink r:id="rId247">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48"/>
    <w:bookmarkStart w:id="250"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49">
        <w:r>
          <w:rPr>
            <w:rStyle w:val="Hyperlink"/>
          </w:rPr>
          <w:t xml:space="preserve">10.1016/j.rse.2020.111704</w:t>
        </w:r>
      </w:hyperlink>
    </w:p>
    <w:bookmarkEnd w:id="250"/>
    <w:bookmarkStart w:id="252"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51">
        <w:r>
          <w:rPr>
            <w:rStyle w:val="Hyperlink"/>
          </w:rPr>
          <w:t xml:space="preserve">10.1016/j.bbabio.2017.03.003</w:t>
        </w:r>
      </w:hyperlink>
    </w:p>
    <w:bookmarkEnd w:id="252"/>
    <w:bookmarkStart w:id="254"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253">
        <w:r>
          <w:rPr>
            <w:rStyle w:val="Hyperlink"/>
          </w:rPr>
          <w:t xml:space="preserve">10.3389/fmars.2018.00281</w:t>
        </w:r>
      </w:hyperlink>
    </w:p>
    <w:bookmarkEnd w:id="254"/>
    <w:bookmarkStart w:id="256" w:name="Xcec3409867e05ef7a37539c61db6ec489349e4b"/>
    <w:p>
      <w:pPr>
        <w:pStyle w:val="Bibliography"/>
      </w:pPr>
      <w:r>
        <w:t xml:space="preserve">Zavřel, T., M. A. Sinetova, D. Búzová, P. Literáková, and J. Červený. 2015. Characterization of a model cyanobacterium</w:t>
      </w:r>
      <w:r>
        <w:t xml:space="preserve"> </w:t>
      </w:r>
      <w:r>
        <w:t xml:space="preserve">Synechocystis</w:t>
      </w:r>
      <w:r>
        <w:t xml:space="preserve"> </w:t>
      </w:r>
      <w:r>
        <w:t xml:space="preserve">sp.</w:t>
      </w:r>
      <w:r>
        <w:t xml:space="preserve"> </w:t>
      </w:r>
      <w:r>
        <w:t xml:space="preserve">PCC</w:t>
      </w:r>
      <w:r>
        <w:t xml:space="preserve"> </w:t>
      </w:r>
      <w:r>
        <w:t xml:space="preserve">6803 autotrophic growth in a flat-panel photobioreactor. Engineering in Life Sciences</w:t>
      </w:r>
      <w:r>
        <w:t xml:space="preserve"> </w:t>
      </w:r>
      <w:r>
        <w:rPr>
          <w:bCs/>
          <w:b/>
        </w:rPr>
        <w:t xml:space="preserve">15</w:t>
      </w:r>
      <w:r>
        <w:t xml:space="preserve">: 122–132. doi:</w:t>
      </w:r>
      <w:hyperlink r:id="rId255">
        <w:r>
          <w:rPr>
            <w:rStyle w:val="Hyperlink"/>
          </w:rPr>
          <w:t xml:space="preserve">10.1002/elsc.201300165</w:t>
        </w:r>
      </w:hyperlink>
    </w:p>
    <w:bookmarkEnd w:id="256"/>
    <w:bookmarkStart w:id="258" w:name="Xe854ae4dd56b5c7cfe1cfdf3d29af4c08375fd5"/>
    <w:p>
      <w:pPr>
        <w:pStyle w:val="Bibliography"/>
      </w:pPr>
      <w:r>
        <w:t xml:space="preserve">Zucchi, M. R., and O. Necchi Jr. 2001. Effects of temperature, irradiance and photoperiod on growth and pigment content in some freshwater red algae in culture. Phycological Research</w:t>
      </w:r>
      <w:r>
        <w:t xml:space="preserve"> </w:t>
      </w:r>
      <w:r>
        <w:rPr>
          <w:bCs/>
          <w:b/>
        </w:rPr>
        <w:t xml:space="preserve">49</w:t>
      </w:r>
      <w:r>
        <w:t xml:space="preserve">: 103–114. doi:</w:t>
      </w:r>
      <w:hyperlink r:id="rId257">
        <w:r>
          <w:rPr>
            <w:rStyle w:val="Hyperlink"/>
          </w:rPr>
          <w:t xml:space="preserve">10.1046/j.1440-1835.2001.00230.x</w:t>
        </w:r>
      </w:hyperlink>
    </w:p>
    <w:bookmarkEnd w:id="258"/>
    <w:bookmarkEnd w:id="259"/>
    <w:bookmarkEnd w:id="260"/>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79" Target="media/rId79.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40" Target="media/rId40.png" /><Relationship Type="http://schemas.openxmlformats.org/officeDocument/2006/relationships/image" Id="rId33" Target="media/rId33.png" /><Relationship Type="http://schemas.openxmlformats.org/officeDocument/2006/relationships/image" Id="rId65" Target="media/rId65.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hyperlink" Id="rId228"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94" Target="https://docs.google.com/spreadsheets/d/1EvogE5pFlGT9H304E3dqXKwh26dWI9r_snSPhZCHWiU/edit#gid=0" TargetMode="External" /><Relationship Type="http://schemas.openxmlformats.org/officeDocument/2006/relationships/hyperlink" Id="rId92" Target="https://docs.google.com/spreadsheets/d/1ZXpwR7Gfto-uRzVdXzMpQF4frbrvMLH_IyLqonFZRSw/edit#gid=0" TargetMode="External" /><Relationship Type="http://schemas.openxmlformats.org/officeDocument/2006/relationships/hyperlink" Id="rId95" Target="https://docs.google.com/spreadsheets/d/1cfyxO1bFSeEMlMnx1vAyuskk3Un_bqkE9-uUSc-jwhE/edit#gid=0" TargetMode="External" /><Relationship Type="http://schemas.openxmlformats.org/officeDocument/2006/relationships/hyperlink" Id="rId93" Target="https://docs.google.com/spreadsheets/d/1ksY7xlg9wOsICOBRmZkHPKdd9KOislNwPDzyuJ3UIUI/edit#gid=0" TargetMode="External" /><Relationship Type="http://schemas.openxmlformats.org/officeDocument/2006/relationships/hyperlink" Id="rId237" Target="https://doi.org/10.1002/biot.201700764" TargetMode="External" /><Relationship Type="http://schemas.openxmlformats.org/officeDocument/2006/relationships/hyperlink" Id="rId244" Target="https://doi.org/10.1002/cyto.a.24508" TargetMode="External" /><Relationship Type="http://schemas.openxmlformats.org/officeDocument/2006/relationships/hyperlink" Id="rId255" Target="https://doi.org/10.1002/elsc.201300165" TargetMode="External" /><Relationship Type="http://schemas.openxmlformats.org/officeDocument/2006/relationships/hyperlink" Id="rId142" Target="https://doi.org/10.1007/978-1-4615-8714-9_3" TargetMode="External" /><Relationship Type="http://schemas.openxmlformats.org/officeDocument/2006/relationships/hyperlink" Id="rId172" Target="https://doi.org/10.1007/978-3-030-90383-1_9" TargetMode="External" /><Relationship Type="http://schemas.openxmlformats.org/officeDocument/2006/relationships/hyperlink" Id="rId242" Target="https://doi.org/10.1007/978-3-319-24277-4_9" TargetMode="External" /><Relationship Type="http://schemas.openxmlformats.org/officeDocument/2006/relationships/hyperlink" Id="rId115" Target="https://doi.org/10.1007/978-81-322-2610-9_4" TargetMode="External" /><Relationship Type="http://schemas.openxmlformats.org/officeDocument/2006/relationships/hyperlink" Id="rId206" Target="https://doi.org/10.1007/978-94-009-2269-3_11" TargetMode="External" /><Relationship Type="http://schemas.openxmlformats.org/officeDocument/2006/relationships/hyperlink" Id="rId103" Target="https://doi.org/10.1007/978-94-011-0227-8_17" TargetMode="External" /><Relationship Type="http://schemas.openxmlformats.org/officeDocument/2006/relationships/hyperlink" Id="rId213" Target="https://doi.org/10.1007/s11120-016-0329-8" TargetMode="External" /><Relationship Type="http://schemas.openxmlformats.org/officeDocument/2006/relationships/hyperlink" Id="rId191" Target="https://doi.org/10.1007/s11430-017-9206-5" TargetMode="External" /><Relationship Type="http://schemas.openxmlformats.org/officeDocument/2006/relationships/hyperlink" Id="rId187" Target="https://doi.org/10.1016/0146-6291(78)90623-9" TargetMode="External" /><Relationship Type="http://schemas.openxmlformats.org/officeDocument/2006/relationships/hyperlink" Id="rId168" Target="https://doi.org/10.1016/S0005-2728(98)00135-2" TargetMode="External" /><Relationship Type="http://schemas.openxmlformats.org/officeDocument/2006/relationships/hyperlink" Id="rId144" Target="https://doi.org/10.1016/j.algal.2017.04.009" TargetMode="External" /><Relationship Type="http://schemas.openxmlformats.org/officeDocument/2006/relationships/hyperlink" Id="rId251" Target="https://doi.org/10.1016/j.bbabio.2017.03.003" TargetMode="External" /><Relationship Type="http://schemas.openxmlformats.org/officeDocument/2006/relationships/hyperlink" Id="rId166" Target="https://doi.org/10.1016/j.biortech.2020.123700" TargetMode="External" /><Relationship Type="http://schemas.openxmlformats.org/officeDocument/2006/relationships/hyperlink" Id="rId160" Target="https://doi.org/10.1016/j.cep.2008.04.007" TargetMode="External" /><Relationship Type="http://schemas.openxmlformats.org/officeDocument/2006/relationships/hyperlink" Id="rId162" Target="https://doi.org/10.1016/j.jphotobiol.2005.10.002" TargetMode="External" /><Relationship Type="http://schemas.openxmlformats.org/officeDocument/2006/relationships/hyperlink" Id="rId134" Target="https://doi.org/10.1016/j.marenvres.2014.07.012" TargetMode="External" /><Relationship Type="http://schemas.openxmlformats.org/officeDocument/2006/relationships/hyperlink" Id="rId109" Target="https://doi.org/10.1016/j.marpolbul.2021.112059" TargetMode="External" /><Relationship Type="http://schemas.openxmlformats.org/officeDocument/2006/relationships/hyperlink" Id="rId152" Target="https://doi.org/10.1016/j.pbi.2017.03.006" TargetMode="External" /><Relationship Type="http://schemas.openxmlformats.org/officeDocument/2006/relationships/hyperlink" Id="rId249" Target="https://doi.org/10.1016/j.rse.2020.111704" TargetMode="External" /><Relationship Type="http://schemas.openxmlformats.org/officeDocument/2006/relationships/hyperlink" Id="rId130" Target="https://doi.org/10.1017/S0025315406014287" TargetMode="External" /><Relationship Type="http://schemas.openxmlformats.org/officeDocument/2006/relationships/hyperlink" Id="rId195" Target="https://doi.org/10.1023/A:1005936823310" TargetMode="External" /><Relationship Type="http://schemas.openxmlformats.org/officeDocument/2006/relationships/hyperlink" Id="rId240" Target="https://doi.org/10.1029/1999JC000308" TargetMode="External" /><Relationship Type="http://schemas.openxmlformats.org/officeDocument/2006/relationships/hyperlink" Id="rId189" Target="https://doi.org/10.1029/JC093iC09p10749" TargetMode="External" /><Relationship Type="http://schemas.openxmlformats.org/officeDocument/2006/relationships/hyperlink" Id="rId99" Target="https://doi.org/10.1038/284481a0" TargetMode="External" /><Relationship Type="http://schemas.openxmlformats.org/officeDocument/2006/relationships/hyperlink" Id="rId148" Target="https://doi.org/10.1038/ismej.2008.118" TargetMode="External" /><Relationship Type="http://schemas.openxmlformats.org/officeDocument/2006/relationships/hyperlink" Id="rId105" Target="https://doi.org/10.1038/nature05317" TargetMode="External" /><Relationship Type="http://schemas.openxmlformats.org/officeDocument/2006/relationships/hyperlink" Id="rId158" Target="https://doi.org/10.1038/nclimate3147" TargetMode="External" /><Relationship Type="http://schemas.openxmlformats.org/officeDocument/2006/relationships/hyperlink" Id="rId154" Target="https://doi.org/10.1038/s41559-020-01330-x" TargetMode="External" /><Relationship Type="http://schemas.openxmlformats.org/officeDocument/2006/relationships/hyperlink" Id="rId170" Target="https://doi.org/10.1038/s41598-021-91106-5" TargetMode="External" /><Relationship Type="http://schemas.openxmlformats.org/officeDocument/2006/relationships/hyperlink" Id="rId180" Target="https://doi.org/10.1038/s41598-022-07009-6" TargetMode="External" /><Relationship Type="http://schemas.openxmlformats.org/officeDocument/2006/relationships/hyperlink" Id="rId211" Target="https://doi.org/10.1038/sdata.2017.98" TargetMode="External" /><Relationship Type="http://schemas.openxmlformats.org/officeDocument/2006/relationships/hyperlink" Id="rId257" Target="https://doi.org/10.1046/j.1440-1835.2001.00230.x" TargetMode="External" /><Relationship Type="http://schemas.openxmlformats.org/officeDocument/2006/relationships/hyperlink" Id="rId132" Target="https://doi.org/10.1073/pnas.1307701110" TargetMode="External" /><Relationship Type="http://schemas.openxmlformats.org/officeDocument/2006/relationships/hyperlink" Id="rId140" Target="https://doi.org/10.1073/pnas.1717069115" TargetMode="External" /><Relationship Type="http://schemas.openxmlformats.org/officeDocument/2006/relationships/hyperlink" Id="rId218" Target="https://doi.org/10.1073/pnas.2111300118" TargetMode="External" /><Relationship Type="http://schemas.openxmlformats.org/officeDocument/2006/relationships/hyperlink" Id="rId107" Target="https://doi.org/10.1083/jcb.58.2.419" TargetMode="External" /><Relationship Type="http://schemas.openxmlformats.org/officeDocument/2006/relationships/hyperlink" Id="rId156" Target="https://doi.org/10.1086/338511" TargetMode="External" /><Relationship Type="http://schemas.openxmlformats.org/officeDocument/2006/relationships/hyperlink" Id="rId185" Target="https://doi.org/10.1093/jxb/erx137" TargetMode="External" /><Relationship Type="http://schemas.openxmlformats.org/officeDocument/2006/relationships/hyperlink" Id="rId125" Target="https://doi.org/10.1093/plankt/6.1.67" TargetMode="External" /><Relationship Type="http://schemas.openxmlformats.org/officeDocument/2006/relationships/hyperlink" Id="rId175" Target="https://doi.org/10.1093/plankt/fbv008" TargetMode="External" /><Relationship Type="http://schemas.openxmlformats.org/officeDocument/2006/relationships/hyperlink" Id="rId209" Target="https://doi.org/10.1104/pp.119.2.785" TargetMode="External" /><Relationship Type="http://schemas.openxmlformats.org/officeDocument/2006/relationships/hyperlink" Id="rId182" Target="https://doi.org/10.1111/1462-2920.13744" TargetMode="External" /><Relationship Type="http://schemas.openxmlformats.org/officeDocument/2006/relationships/hyperlink" Id="rId97" Target="https://doi.org/10.1111/1462-2920.16384" TargetMode="External" /><Relationship Type="http://schemas.openxmlformats.org/officeDocument/2006/relationships/hyperlink" Id="rId233" Target="https://doi.org/10.1111/j.1365-2427.2008.02119.x" TargetMode="External" /><Relationship Type="http://schemas.openxmlformats.org/officeDocument/2006/relationships/hyperlink" Id="rId117" Target="https://doi.org/10.1111/nph.17903" TargetMode="External" /><Relationship Type="http://schemas.openxmlformats.org/officeDocument/2006/relationships/hyperlink" Id="rId231" Target="https://doi.org/10.1111/oik.08839" TargetMode="External" /><Relationship Type="http://schemas.openxmlformats.org/officeDocument/2006/relationships/hyperlink" Id="rId128" Target="https://doi.org/10.1126/science.281.5374.237" TargetMode="External" /><Relationship Type="http://schemas.openxmlformats.org/officeDocument/2006/relationships/hyperlink" Id="rId226" Target="https://doi.org/10.1134/S0026261715020150" TargetMode="External" /><Relationship Type="http://schemas.openxmlformats.org/officeDocument/2006/relationships/hyperlink" Id="rId101" Target="https://doi.org/10.1146/annurev-marine-010213-135103" TargetMode="External" /><Relationship Type="http://schemas.openxmlformats.org/officeDocument/2006/relationships/hyperlink" Id="rId136" Target="https://doi.org/10.11606/T.21.2016.tde-08122016-114954" TargetMode="External" /><Relationship Type="http://schemas.openxmlformats.org/officeDocument/2006/relationships/hyperlink" Id="rId122" Target="https://doi.org/10.1186/gb-2008-9-5-r90" TargetMode="External" /><Relationship Type="http://schemas.openxmlformats.org/officeDocument/2006/relationships/hyperlink" Id="rId247" Target="https://doi.org/10.1201/9781315370279" TargetMode="External" /><Relationship Type="http://schemas.openxmlformats.org/officeDocument/2006/relationships/hyperlink" Id="rId216" Target="https://doi.org/10.1371/journal.pone.0001341" TargetMode="External" /><Relationship Type="http://schemas.openxmlformats.org/officeDocument/2006/relationships/hyperlink" Id="rId235" Target="https://doi.org/10.25607/OBP-1084" TargetMode="External" /><Relationship Type="http://schemas.openxmlformats.org/officeDocument/2006/relationships/hyperlink" Id="rId138" Target="https://doi.org/10.3354/meps052099" TargetMode="External" /><Relationship Type="http://schemas.openxmlformats.org/officeDocument/2006/relationships/hyperlink" Id="rId253" Target="https://doi.org/10.3389/fmars.2018.00281" TargetMode="External" /><Relationship Type="http://schemas.openxmlformats.org/officeDocument/2006/relationships/hyperlink" Id="rId112" Target="https://doi.org/10.3389/fmars.2019.00319" TargetMode="External" /><Relationship Type="http://schemas.openxmlformats.org/officeDocument/2006/relationships/hyperlink" Id="rId222" Target="https://doi.org/10.3390/cells9092030" TargetMode="External" /><Relationship Type="http://schemas.openxmlformats.org/officeDocument/2006/relationships/hyperlink" Id="rId224" Target="https://doi.org/10.3390/toxins10010048" TargetMode="External" /><Relationship Type="http://schemas.openxmlformats.org/officeDocument/2006/relationships/hyperlink" Id="rId200" Target="https://doi.org/10.4319/lo.1991.36.7.1457" TargetMode="External" /><Relationship Type="http://schemas.openxmlformats.org/officeDocument/2006/relationships/hyperlink" Id="rId119" Target="https://doi.org/10.4319/lo.1999.44.1.0052" TargetMode="External" /><Relationship Type="http://schemas.openxmlformats.org/officeDocument/2006/relationships/hyperlink" Id="rId197" Target="https://doi.org/10.4319/lom.2012.10.142" TargetMode="External" /><Relationship Type="http://schemas.openxmlformats.org/officeDocument/2006/relationships/hyperlink" Id="rId220" Target="https://doi.org/10.5194/bg-15-6257-2018" TargetMode="External" /><Relationship Type="http://schemas.openxmlformats.org/officeDocument/2006/relationships/hyperlink" Id="rId150" Target="https://doi.org/10.5194/bg-8-311-2011" TargetMode="External" /><Relationship Type="http://schemas.openxmlformats.org/officeDocument/2006/relationships/hyperlink" Id="rId203" Target="https://doi.org/10.5194/egusphere-2024-847" TargetMode="External" /><Relationship Type="http://schemas.openxmlformats.org/officeDocument/2006/relationships/hyperlink" Id="rId45" Target="https://github.com/FundyPhytoPhys/BalticPhotoperiod" TargetMode="External" /><Relationship Type="http://schemas.openxmlformats.org/officeDocument/2006/relationships/hyperlink" Id="rId177" Target="https://www.jstor.org/stable/24852252" TargetMode="External" /><Relationship Type="http://schemas.openxmlformats.org/officeDocument/2006/relationships/hyperlink" Id="rId193"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28"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94" Target="https://docs.google.com/spreadsheets/d/1EvogE5pFlGT9H304E3dqXKwh26dWI9r_snSPhZCHWiU/edit#gid=0" TargetMode="External" /><Relationship Type="http://schemas.openxmlformats.org/officeDocument/2006/relationships/hyperlink" Id="rId92" Target="https://docs.google.com/spreadsheets/d/1ZXpwR7Gfto-uRzVdXzMpQF4frbrvMLH_IyLqonFZRSw/edit#gid=0" TargetMode="External" /><Relationship Type="http://schemas.openxmlformats.org/officeDocument/2006/relationships/hyperlink" Id="rId95" Target="https://docs.google.com/spreadsheets/d/1cfyxO1bFSeEMlMnx1vAyuskk3Un_bqkE9-uUSc-jwhE/edit#gid=0" TargetMode="External" /><Relationship Type="http://schemas.openxmlformats.org/officeDocument/2006/relationships/hyperlink" Id="rId93" Target="https://docs.google.com/spreadsheets/d/1ksY7xlg9wOsICOBRmZkHPKdd9KOislNwPDzyuJ3UIUI/edit#gid=0" TargetMode="External" /><Relationship Type="http://schemas.openxmlformats.org/officeDocument/2006/relationships/hyperlink" Id="rId237" Target="https://doi.org/10.1002/biot.201700764" TargetMode="External" /><Relationship Type="http://schemas.openxmlformats.org/officeDocument/2006/relationships/hyperlink" Id="rId244" Target="https://doi.org/10.1002/cyto.a.24508" TargetMode="External" /><Relationship Type="http://schemas.openxmlformats.org/officeDocument/2006/relationships/hyperlink" Id="rId255" Target="https://doi.org/10.1002/elsc.201300165" TargetMode="External" /><Relationship Type="http://schemas.openxmlformats.org/officeDocument/2006/relationships/hyperlink" Id="rId142" Target="https://doi.org/10.1007/978-1-4615-8714-9_3" TargetMode="External" /><Relationship Type="http://schemas.openxmlformats.org/officeDocument/2006/relationships/hyperlink" Id="rId172" Target="https://doi.org/10.1007/978-3-030-90383-1_9" TargetMode="External" /><Relationship Type="http://schemas.openxmlformats.org/officeDocument/2006/relationships/hyperlink" Id="rId242" Target="https://doi.org/10.1007/978-3-319-24277-4_9" TargetMode="External" /><Relationship Type="http://schemas.openxmlformats.org/officeDocument/2006/relationships/hyperlink" Id="rId115" Target="https://doi.org/10.1007/978-81-322-2610-9_4" TargetMode="External" /><Relationship Type="http://schemas.openxmlformats.org/officeDocument/2006/relationships/hyperlink" Id="rId206" Target="https://doi.org/10.1007/978-94-009-2269-3_11" TargetMode="External" /><Relationship Type="http://schemas.openxmlformats.org/officeDocument/2006/relationships/hyperlink" Id="rId103" Target="https://doi.org/10.1007/978-94-011-0227-8_17" TargetMode="External" /><Relationship Type="http://schemas.openxmlformats.org/officeDocument/2006/relationships/hyperlink" Id="rId213" Target="https://doi.org/10.1007/s11120-016-0329-8" TargetMode="External" /><Relationship Type="http://schemas.openxmlformats.org/officeDocument/2006/relationships/hyperlink" Id="rId191" Target="https://doi.org/10.1007/s11430-017-9206-5" TargetMode="External" /><Relationship Type="http://schemas.openxmlformats.org/officeDocument/2006/relationships/hyperlink" Id="rId187" Target="https://doi.org/10.1016/0146-6291(78)90623-9" TargetMode="External" /><Relationship Type="http://schemas.openxmlformats.org/officeDocument/2006/relationships/hyperlink" Id="rId168" Target="https://doi.org/10.1016/S0005-2728(98)00135-2" TargetMode="External" /><Relationship Type="http://schemas.openxmlformats.org/officeDocument/2006/relationships/hyperlink" Id="rId144" Target="https://doi.org/10.1016/j.algal.2017.04.009" TargetMode="External" /><Relationship Type="http://schemas.openxmlformats.org/officeDocument/2006/relationships/hyperlink" Id="rId251" Target="https://doi.org/10.1016/j.bbabio.2017.03.003" TargetMode="External" /><Relationship Type="http://schemas.openxmlformats.org/officeDocument/2006/relationships/hyperlink" Id="rId166" Target="https://doi.org/10.1016/j.biortech.2020.123700" TargetMode="External" /><Relationship Type="http://schemas.openxmlformats.org/officeDocument/2006/relationships/hyperlink" Id="rId160" Target="https://doi.org/10.1016/j.cep.2008.04.007" TargetMode="External" /><Relationship Type="http://schemas.openxmlformats.org/officeDocument/2006/relationships/hyperlink" Id="rId162" Target="https://doi.org/10.1016/j.jphotobiol.2005.10.002" TargetMode="External" /><Relationship Type="http://schemas.openxmlformats.org/officeDocument/2006/relationships/hyperlink" Id="rId134" Target="https://doi.org/10.1016/j.marenvres.2014.07.012" TargetMode="External" /><Relationship Type="http://schemas.openxmlformats.org/officeDocument/2006/relationships/hyperlink" Id="rId109" Target="https://doi.org/10.1016/j.marpolbul.2021.112059" TargetMode="External" /><Relationship Type="http://schemas.openxmlformats.org/officeDocument/2006/relationships/hyperlink" Id="rId152" Target="https://doi.org/10.1016/j.pbi.2017.03.006" TargetMode="External" /><Relationship Type="http://schemas.openxmlformats.org/officeDocument/2006/relationships/hyperlink" Id="rId249" Target="https://doi.org/10.1016/j.rse.2020.111704" TargetMode="External" /><Relationship Type="http://schemas.openxmlformats.org/officeDocument/2006/relationships/hyperlink" Id="rId130" Target="https://doi.org/10.1017/S0025315406014287" TargetMode="External" /><Relationship Type="http://schemas.openxmlformats.org/officeDocument/2006/relationships/hyperlink" Id="rId195" Target="https://doi.org/10.1023/A:1005936823310" TargetMode="External" /><Relationship Type="http://schemas.openxmlformats.org/officeDocument/2006/relationships/hyperlink" Id="rId240" Target="https://doi.org/10.1029/1999JC000308" TargetMode="External" /><Relationship Type="http://schemas.openxmlformats.org/officeDocument/2006/relationships/hyperlink" Id="rId189" Target="https://doi.org/10.1029/JC093iC09p10749" TargetMode="External" /><Relationship Type="http://schemas.openxmlformats.org/officeDocument/2006/relationships/hyperlink" Id="rId99" Target="https://doi.org/10.1038/284481a0" TargetMode="External" /><Relationship Type="http://schemas.openxmlformats.org/officeDocument/2006/relationships/hyperlink" Id="rId148" Target="https://doi.org/10.1038/ismej.2008.118" TargetMode="External" /><Relationship Type="http://schemas.openxmlformats.org/officeDocument/2006/relationships/hyperlink" Id="rId105" Target="https://doi.org/10.1038/nature05317" TargetMode="External" /><Relationship Type="http://schemas.openxmlformats.org/officeDocument/2006/relationships/hyperlink" Id="rId158" Target="https://doi.org/10.1038/nclimate3147" TargetMode="External" /><Relationship Type="http://schemas.openxmlformats.org/officeDocument/2006/relationships/hyperlink" Id="rId154" Target="https://doi.org/10.1038/s41559-020-01330-x" TargetMode="External" /><Relationship Type="http://schemas.openxmlformats.org/officeDocument/2006/relationships/hyperlink" Id="rId170" Target="https://doi.org/10.1038/s41598-021-91106-5" TargetMode="External" /><Relationship Type="http://schemas.openxmlformats.org/officeDocument/2006/relationships/hyperlink" Id="rId180" Target="https://doi.org/10.1038/s41598-022-07009-6" TargetMode="External" /><Relationship Type="http://schemas.openxmlformats.org/officeDocument/2006/relationships/hyperlink" Id="rId211" Target="https://doi.org/10.1038/sdata.2017.98" TargetMode="External" /><Relationship Type="http://schemas.openxmlformats.org/officeDocument/2006/relationships/hyperlink" Id="rId257" Target="https://doi.org/10.1046/j.1440-1835.2001.00230.x" TargetMode="External" /><Relationship Type="http://schemas.openxmlformats.org/officeDocument/2006/relationships/hyperlink" Id="rId132" Target="https://doi.org/10.1073/pnas.1307701110" TargetMode="External" /><Relationship Type="http://schemas.openxmlformats.org/officeDocument/2006/relationships/hyperlink" Id="rId140" Target="https://doi.org/10.1073/pnas.1717069115" TargetMode="External" /><Relationship Type="http://schemas.openxmlformats.org/officeDocument/2006/relationships/hyperlink" Id="rId218" Target="https://doi.org/10.1073/pnas.2111300118" TargetMode="External" /><Relationship Type="http://schemas.openxmlformats.org/officeDocument/2006/relationships/hyperlink" Id="rId107" Target="https://doi.org/10.1083/jcb.58.2.419" TargetMode="External" /><Relationship Type="http://schemas.openxmlformats.org/officeDocument/2006/relationships/hyperlink" Id="rId156" Target="https://doi.org/10.1086/338511" TargetMode="External" /><Relationship Type="http://schemas.openxmlformats.org/officeDocument/2006/relationships/hyperlink" Id="rId185" Target="https://doi.org/10.1093/jxb/erx137" TargetMode="External" /><Relationship Type="http://schemas.openxmlformats.org/officeDocument/2006/relationships/hyperlink" Id="rId125" Target="https://doi.org/10.1093/plankt/6.1.67" TargetMode="External" /><Relationship Type="http://schemas.openxmlformats.org/officeDocument/2006/relationships/hyperlink" Id="rId175" Target="https://doi.org/10.1093/plankt/fbv008" TargetMode="External" /><Relationship Type="http://schemas.openxmlformats.org/officeDocument/2006/relationships/hyperlink" Id="rId209" Target="https://doi.org/10.1104/pp.119.2.785" TargetMode="External" /><Relationship Type="http://schemas.openxmlformats.org/officeDocument/2006/relationships/hyperlink" Id="rId182" Target="https://doi.org/10.1111/1462-2920.13744" TargetMode="External" /><Relationship Type="http://schemas.openxmlformats.org/officeDocument/2006/relationships/hyperlink" Id="rId97" Target="https://doi.org/10.1111/1462-2920.16384" TargetMode="External" /><Relationship Type="http://schemas.openxmlformats.org/officeDocument/2006/relationships/hyperlink" Id="rId233" Target="https://doi.org/10.1111/j.1365-2427.2008.02119.x" TargetMode="External" /><Relationship Type="http://schemas.openxmlformats.org/officeDocument/2006/relationships/hyperlink" Id="rId117" Target="https://doi.org/10.1111/nph.17903" TargetMode="External" /><Relationship Type="http://schemas.openxmlformats.org/officeDocument/2006/relationships/hyperlink" Id="rId231" Target="https://doi.org/10.1111/oik.08839" TargetMode="External" /><Relationship Type="http://schemas.openxmlformats.org/officeDocument/2006/relationships/hyperlink" Id="rId128" Target="https://doi.org/10.1126/science.281.5374.237" TargetMode="External" /><Relationship Type="http://schemas.openxmlformats.org/officeDocument/2006/relationships/hyperlink" Id="rId226" Target="https://doi.org/10.1134/S0026261715020150" TargetMode="External" /><Relationship Type="http://schemas.openxmlformats.org/officeDocument/2006/relationships/hyperlink" Id="rId101" Target="https://doi.org/10.1146/annurev-marine-010213-135103" TargetMode="External" /><Relationship Type="http://schemas.openxmlformats.org/officeDocument/2006/relationships/hyperlink" Id="rId136" Target="https://doi.org/10.11606/T.21.2016.tde-08122016-114954" TargetMode="External" /><Relationship Type="http://schemas.openxmlformats.org/officeDocument/2006/relationships/hyperlink" Id="rId122" Target="https://doi.org/10.1186/gb-2008-9-5-r90" TargetMode="External" /><Relationship Type="http://schemas.openxmlformats.org/officeDocument/2006/relationships/hyperlink" Id="rId247" Target="https://doi.org/10.1201/9781315370279" TargetMode="External" /><Relationship Type="http://schemas.openxmlformats.org/officeDocument/2006/relationships/hyperlink" Id="rId216" Target="https://doi.org/10.1371/journal.pone.0001341" TargetMode="External" /><Relationship Type="http://schemas.openxmlformats.org/officeDocument/2006/relationships/hyperlink" Id="rId235" Target="https://doi.org/10.25607/OBP-1084" TargetMode="External" /><Relationship Type="http://schemas.openxmlformats.org/officeDocument/2006/relationships/hyperlink" Id="rId138" Target="https://doi.org/10.3354/meps052099" TargetMode="External" /><Relationship Type="http://schemas.openxmlformats.org/officeDocument/2006/relationships/hyperlink" Id="rId253" Target="https://doi.org/10.3389/fmars.2018.00281" TargetMode="External" /><Relationship Type="http://schemas.openxmlformats.org/officeDocument/2006/relationships/hyperlink" Id="rId112" Target="https://doi.org/10.3389/fmars.2019.00319" TargetMode="External" /><Relationship Type="http://schemas.openxmlformats.org/officeDocument/2006/relationships/hyperlink" Id="rId222" Target="https://doi.org/10.3390/cells9092030" TargetMode="External" /><Relationship Type="http://schemas.openxmlformats.org/officeDocument/2006/relationships/hyperlink" Id="rId224" Target="https://doi.org/10.3390/toxins10010048" TargetMode="External" /><Relationship Type="http://schemas.openxmlformats.org/officeDocument/2006/relationships/hyperlink" Id="rId200" Target="https://doi.org/10.4319/lo.1991.36.7.1457" TargetMode="External" /><Relationship Type="http://schemas.openxmlformats.org/officeDocument/2006/relationships/hyperlink" Id="rId119" Target="https://doi.org/10.4319/lo.1999.44.1.0052" TargetMode="External" /><Relationship Type="http://schemas.openxmlformats.org/officeDocument/2006/relationships/hyperlink" Id="rId197" Target="https://doi.org/10.4319/lom.2012.10.142" TargetMode="External" /><Relationship Type="http://schemas.openxmlformats.org/officeDocument/2006/relationships/hyperlink" Id="rId220" Target="https://doi.org/10.5194/bg-15-6257-2018" TargetMode="External" /><Relationship Type="http://schemas.openxmlformats.org/officeDocument/2006/relationships/hyperlink" Id="rId150" Target="https://doi.org/10.5194/bg-8-311-2011" TargetMode="External" /><Relationship Type="http://schemas.openxmlformats.org/officeDocument/2006/relationships/hyperlink" Id="rId203" Target="https://doi.org/10.5194/egusphere-2024-847" TargetMode="External" /><Relationship Type="http://schemas.openxmlformats.org/officeDocument/2006/relationships/hyperlink" Id="rId45" Target="https://github.com/FundyPhytoPhys/BalticPhotoperiod" TargetMode="External" /><Relationship Type="http://schemas.openxmlformats.org/officeDocument/2006/relationships/hyperlink" Id="rId177" Target="https://www.jstor.org/stable/24852252" TargetMode="External" /><Relationship Type="http://schemas.openxmlformats.org/officeDocument/2006/relationships/hyperlink" Id="rId193"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Long, low &amp; slow; or high, short &amp; fast; growth yields of light and photoperiods in PhycoCyanin and PhycoErythrin-rich picocyanobacteria</dc:title>
  <dc:creator>Sylwia Śliwińska-Wilczewska1,2, Marta Konik3,4, Mireille Savoie1, Anabella Aguilera5, Naaman Omar1, and Douglas A. Campbell1,✉</dc:creator>
  <cp:keywords/>
  <dcterms:created xsi:type="dcterms:W3CDTF">2024-04-24T14:36:08Z</dcterms:created>
  <dcterms:modified xsi:type="dcterms:W3CDTF">2024-04-24T14:36:08Z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